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谈 判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u w:val="single"/>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康复数字化管理系统维护升级</w:t>
      </w: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 xml:space="preserve">        </w:t>
      </w:r>
    </w:p>
    <w:p>
      <w:pPr>
        <w:ind w:firstLine="2106" w:firstLineChars="600"/>
        <w:rPr>
          <w:rFonts w:ascii="宋体" w:hAnsi="宋体" w:eastAsia="宋体" w:cs="Times New Roman"/>
          <w:kern w:val="0"/>
          <w:sz w:val="36"/>
          <w:szCs w:val="36"/>
          <w:u w:val="single"/>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2020-JL13（03）-F50005</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w:t>
      </w:r>
      <w:r>
        <w:rPr>
          <w:rFonts w:ascii="宋体" w:hAnsi="宋体" w:eastAsia="宋体" w:cs="Times New Roman"/>
          <w:kern w:val="0"/>
          <w:sz w:val="36"/>
          <w:szCs w:val="36"/>
        </w:rPr>
        <w:t>月</w:t>
      </w:r>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一、报价方应特别留意谈判文件上载明的报价文件递交开始截止时间，提前或逾期送达（含邮寄送达）的报价文件概不接受。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目    录</w:t>
      </w:r>
    </w:p>
    <w:p>
      <w:pPr>
        <w:spacing w:line="440" w:lineRule="exact"/>
        <w:rPr>
          <w:rFonts w:ascii="黑体" w:hAnsi="黑体" w:eastAsia="黑体" w:cs="Times New Roman"/>
          <w:kern w:val="0"/>
          <w:sz w:val="32"/>
          <w:szCs w:val="32"/>
        </w:rPr>
      </w:pPr>
    </w:p>
    <w:p>
      <w:pPr>
        <w:spacing w:line="440" w:lineRule="exact"/>
        <w:ind w:firstLine="462" w:firstLineChars="200"/>
        <w:rPr>
          <w:rFonts w:ascii="宋体" w:hAnsi="宋体" w:eastAsia="宋体" w:cs="Times New Roman"/>
          <w:kern w:val="0"/>
          <w:sz w:val="24"/>
          <w:szCs w:val="24"/>
        </w:rPr>
      </w:pPr>
    </w:p>
    <w:p>
      <w:pPr>
        <w:pStyle w:val="14"/>
        <w:ind w:left="804"/>
        <w:rPr>
          <w:rFonts w:asciiTheme="minorHAnsi" w:hAnsiTheme="minorHAnsi" w:eastAsiaTheme="minorEastAsia" w:cstheme="minorBidi"/>
          <w:kern w:val="2"/>
          <w:szCs w:val="22"/>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r>
        <w:fldChar w:fldCharType="begin"/>
      </w:r>
      <w:r>
        <w:instrText xml:space="preserve"> HYPERLINK \l "_Toc41986761" </w:instrText>
      </w:r>
      <w:r>
        <w:fldChar w:fldCharType="separate"/>
      </w:r>
      <w:r>
        <w:rPr>
          <w:rStyle w:val="22"/>
          <w:rFonts w:hint="eastAsia" w:ascii="黑体" w:hAnsi="黑体" w:eastAsia="黑体"/>
          <w:sz w:val="32"/>
        </w:rPr>
        <w:t>第一部分</w:t>
      </w:r>
      <w:r>
        <w:rPr>
          <w:rStyle w:val="22"/>
          <w:rFonts w:ascii="黑体" w:hAnsi="黑体" w:eastAsia="黑体"/>
          <w:sz w:val="32"/>
        </w:rPr>
        <w:t xml:space="preserve">  </w:t>
      </w:r>
      <w:r>
        <w:rPr>
          <w:rStyle w:val="22"/>
          <w:rFonts w:hint="eastAsia" w:ascii="黑体" w:hAnsi="黑体" w:eastAsia="黑体"/>
          <w:sz w:val="32"/>
        </w:rPr>
        <w:t>采购公告</w:t>
      </w:r>
      <w:r>
        <w:rPr>
          <w:sz w:val="32"/>
        </w:rPr>
        <w:tab/>
      </w:r>
      <w:r>
        <w:rPr>
          <w:sz w:val="32"/>
        </w:rPr>
        <w:fldChar w:fldCharType="begin"/>
      </w:r>
      <w:r>
        <w:rPr>
          <w:sz w:val="32"/>
        </w:rPr>
        <w:instrText xml:space="preserve"> PAGEREF _Toc41986761 \h </w:instrText>
      </w:r>
      <w:r>
        <w:rPr>
          <w:sz w:val="32"/>
        </w:rPr>
        <w:fldChar w:fldCharType="separate"/>
      </w:r>
      <w:r>
        <w:rPr>
          <w:sz w:val="32"/>
        </w:rPr>
        <w:t>1</w:t>
      </w:r>
      <w:r>
        <w:rPr>
          <w:sz w:val="32"/>
        </w:rPr>
        <w:fldChar w:fldCharType="end"/>
      </w:r>
      <w:r>
        <w:rPr>
          <w:sz w:val="32"/>
        </w:rPr>
        <w:fldChar w:fldCharType="end"/>
      </w:r>
    </w:p>
    <w:p>
      <w:pPr>
        <w:pStyle w:val="14"/>
        <w:ind w:left="804"/>
        <w:rPr>
          <w:rFonts w:asciiTheme="minorHAnsi" w:hAnsiTheme="minorHAnsi" w:eastAsiaTheme="minorEastAsia" w:cstheme="minorBidi"/>
          <w:kern w:val="2"/>
          <w:szCs w:val="22"/>
        </w:rPr>
      </w:pPr>
      <w:r>
        <w:fldChar w:fldCharType="begin"/>
      </w:r>
      <w:r>
        <w:instrText xml:space="preserve"> HYPERLINK \l "_Toc41986762" </w:instrText>
      </w:r>
      <w:r>
        <w:fldChar w:fldCharType="separate"/>
      </w:r>
      <w:r>
        <w:rPr>
          <w:rStyle w:val="22"/>
          <w:rFonts w:hint="eastAsia" w:ascii="黑体" w:hAnsi="黑体" w:eastAsia="黑体"/>
          <w:sz w:val="32"/>
          <w:lang w:val="zh-CN"/>
        </w:rPr>
        <w:t>第二部分</w:t>
      </w:r>
      <w:r>
        <w:rPr>
          <w:rStyle w:val="22"/>
          <w:rFonts w:ascii="黑体" w:hAnsi="黑体" w:eastAsia="黑体"/>
          <w:sz w:val="32"/>
          <w:lang w:val="zh-CN"/>
        </w:rPr>
        <w:t xml:space="preserve">  </w:t>
      </w:r>
      <w:r>
        <w:rPr>
          <w:rStyle w:val="22"/>
          <w:rFonts w:hint="eastAsia" w:ascii="黑体" w:hAnsi="黑体" w:eastAsia="黑体"/>
          <w:sz w:val="32"/>
          <w:lang w:val="zh-CN"/>
        </w:rPr>
        <w:t>采购项目技</w:t>
      </w:r>
      <w:r>
        <w:rPr>
          <w:rStyle w:val="22"/>
          <w:rFonts w:hint="eastAsia" w:ascii="黑体" w:hAnsi="黑体" w:eastAsia="黑体" w:cs="宋体"/>
          <w:sz w:val="32"/>
          <w:lang w:val="zh-CN"/>
        </w:rPr>
        <w:t>术</w:t>
      </w:r>
      <w:r>
        <w:rPr>
          <w:rStyle w:val="22"/>
          <w:rFonts w:hint="eastAsia" w:ascii="黑体" w:hAnsi="黑体" w:eastAsia="黑体" w:cs="Dotum"/>
          <w:sz w:val="32"/>
          <w:lang w:val="zh-CN"/>
        </w:rPr>
        <w:t>和商</w:t>
      </w:r>
      <w:r>
        <w:rPr>
          <w:rStyle w:val="22"/>
          <w:rFonts w:hint="eastAsia" w:ascii="黑体" w:hAnsi="黑体" w:eastAsia="黑体" w:cs="宋体"/>
          <w:sz w:val="32"/>
          <w:lang w:val="zh-CN"/>
        </w:rPr>
        <w:t>务</w:t>
      </w:r>
      <w:r>
        <w:rPr>
          <w:rStyle w:val="22"/>
          <w:rFonts w:hint="eastAsia" w:ascii="黑体" w:hAnsi="黑体" w:eastAsia="黑体"/>
          <w:sz w:val="32"/>
          <w:lang w:val="zh-CN"/>
        </w:rPr>
        <w:t>要求</w:t>
      </w:r>
      <w:r>
        <w:rPr>
          <w:sz w:val="32"/>
        </w:rPr>
        <w:tab/>
      </w:r>
      <w:r>
        <w:rPr>
          <w:sz w:val="32"/>
        </w:rPr>
        <w:fldChar w:fldCharType="begin"/>
      </w:r>
      <w:r>
        <w:rPr>
          <w:sz w:val="32"/>
        </w:rPr>
        <w:instrText xml:space="preserve"> PAGEREF _Toc41986762 \h </w:instrText>
      </w:r>
      <w:r>
        <w:rPr>
          <w:sz w:val="32"/>
        </w:rPr>
        <w:fldChar w:fldCharType="separate"/>
      </w:r>
      <w:r>
        <w:rPr>
          <w:sz w:val="32"/>
        </w:rPr>
        <w:t>3</w:t>
      </w:r>
      <w:r>
        <w:rPr>
          <w:sz w:val="32"/>
        </w:rPr>
        <w:fldChar w:fldCharType="end"/>
      </w:r>
      <w:r>
        <w:rPr>
          <w:sz w:val="32"/>
        </w:rPr>
        <w:fldChar w:fldCharType="end"/>
      </w:r>
    </w:p>
    <w:p>
      <w:pPr>
        <w:pStyle w:val="14"/>
        <w:ind w:left="804"/>
        <w:rPr>
          <w:rFonts w:asciiTheme="minorHAnsi" w:hAnsiTheme="minorHAnsi" w:eastAsiaTheme="minorEastAsia" w:cstheme="minorBidi"/>
          <w:kern w:val="2"/>
          <w:szCs w:val="22"/>
        </w:rPr>
      </w:pPr>
      <w:r>
        <w:fldChar w:fldCharType="begin"/>
      </w:r>
      <w:r>
        <w:instrText xml:space="preserve"> HYPERLINK \l "_Toc41986763" </w:instrText>
      </w:r>
      <w:r>
        <w:fldChar w:fldCharType="separate"/>
      </w:r>
      <w:r>
        <w:rPr>
          <w:rStyle w:val="22"/>
          <w:rFonts w:hint="eastAsia" w:ascii="黑体" w:hAnsi="黑体" w:eastAsia="黑体"/>
          <w:sz w:val="32"/>
        </w:rPr>
        <w:t>第三部分</w:t>
      </w:r>
      <w:r>
        <w:rPr>
          <w:rStyle w:val="22"/>
          <w:rFonts w:ascii="黑体" w:hAnsi="黑体" w:eastAsia="黑体"/>
          <w:sz w:val="32"/>
        </w:rPr>
        <w:t xml:space="preserve">  </w:t>
      </w:r>
      <w:r>
        <w:rPr>
          <w:rStyle w:val="22"/>
          <w:rFonts w:hint="eastAsia" w:ascii="黑体" w:hAnsi="黑体" w:eastAsia="黑体"/>
          <w:sz w:val="32"/>
          <w:lang w:val="zh-CN"/>
        </w:rPr>
        <w:t>报价方</w:t>
      </w:r>
      <w:r>
        <w:rPr>
          <w:rStyle w:val="22"/>
          <w:rFonts w:hint="eastAsia" w:ascii="黑体" w:hAnsi="黑体" w:eastAsia="黑体"/>
          <w:sz w:val="32"/>
        </w:rPr>
        <w:t>须知</w:t>
      </w:r>
      <w:r>
        <w:rPr>
          <w:sz w:val="32"/>
        </w:rPr>
        <w:tab/>
      </w:r>
      <w:r>
        <w:rPr>
          <w:sz w:val="32"/>
        </w:rPr>
        <w:fldChar w:fldCharType="begin"/>
      </w:r>
      <w:r>
        <w:rPr>
          <w:sz w:val="32"/>
        </w:rPr>
        <w:instrText xml:space="preserve"> PAGEREF _Toc41986763 \h </w:instrText>
      </w:r>
      <w:r>
        <w:rPr>
          <w:sz w:val="32"/>
        </w:rPr>
        <w:fldChar w:fldCharType="separate"/>
      </w:r>
      <w:r>
        <w:rPr>
          <w:sz w:val="32"/>
        </w:rPr>
        <w:t>5</w:t>
      </w:r>
      <w:r>
        <w:rPr>
          <w:sz w:val="32"/>
        </w:rPr>
        <w:fldChar w:fldCharType="end"/>
      </w:r>
      <w:r>
        <w:rPr>
          <w:sz w:val="32"/>
        </w:rPr>
        <w:fldChar w:fldCharType="end"/>
      </w:r>
    </w:p>
    <w:p>
      <w:pPr>
        <w:pStyle w:val="14"/>
        <w:ind w:left="804"/>
        <w:rPr>
          <w:rFonts w:asciiTheme="minorHAnsi" w:hAnsiTheme="minorHAnsi" w:eastAsiaTheme="minorEastAsia" w:cstheme="minorBidi"/>
          <w:kern w:val="2"/>
          <w:szCs w:val="22"/>
        </w:rPr>
      </w:pPr>
      <w:r>
        <w:fldChar w:fldCharType="begin"/>
      </w:r>
      <w:r>
        <w:instrText xml:space="preserve"> HYPERLINK \l "_Toc41986764" </w:instrText>
      </w:r>
      <w:r>
        <w:fldChar w:fldCharType="separate"/>
      </w:r>
      <w:r>
        <w:rPr>
          <w:rStyle w:val="22"/>
          <w:rFonts w:hint="eastAsia" w:ascii="黑体" w:hAnsi="黑体" w:eastAsia="黑体"/>
          <w:bCs/>
          <w:sz w:val="32"/>
        </w:rPr>
        <w:t>第四部分</w:t>
      </w:r>
      <w:r>
        <w:rPr>
          <w:rStyle w:val="22"/>
          <w:rFonts w:ascii="黑体" w:hAnsi="黑体" w:eastAsia="黑体"/>
          <w:bCs/>
          <w:sz w:val="32"/>
        </w:rPr>
        <w:t xml:space="preserve">  </w:t>
      </w:r>
      <w:r>
        <w:rPr>
          <w:rStyle w:val="22"/>
          <w:rFonts w:hint="eastAsia" w:ascii="黑体" w:hAnsi="黑体" w:eastAsia="黑体"/>
          <w:bCs/>
          <w:sz w:val="32"/>
        </w:rPr>
        <w:t>合同样本</w:t>
      </w:r>
      <w:r>
        <w:rPr>
          <w:sz w:val="32"/>
        </w:rPr>
        <w:tab/>
      </w:r>
      <w:r>
        <w:rPr>
          <w:sz w:val="32"/>
        </w:rPr>
        <w:fldChar w:fldCharType="begin"/>
      </w:r>
      <w:r>
        <w:rPr>
          <w:sz w:val="32"/>
        </w:rPr>
        <w:instrText xml:space="preserve"> PAGEREF _Toc41986764 \h </w:instrText>
      </w:r>
      <w:r>
        <w:rPr>
          <w:sz w:val="32"/>
        </w:rPr>
        <w:fldChar w:fldCharType="separate"/>
      </w:r>
      <w:r>
        <w:rPr>
          <w:sz w:val="32"/>
        </w:rPr>
        <w:t>23</w:t>
      </w:r>
      <w:r>
        <w:rPr>
          <w:sz w:val="32"/>
        </w:rPr>
        <w:fldChar w:fldCharType="end"/>
      </w:r>
      <w:r>
        <w:rPr>
          <w:sz w:val="32"/>
        </w:rP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"_Toc41986765" </w:instrText>
      </w:r>
      <w:r>
        <w:fldChar w:fldCharType="separate"/>
      </w:r>
      <w:r>
        <w:rPr>
          <w:rStyle w:val="22"/>
          <w:rFonts w:hint="eastAsia" w:ascii="黑体" w:hAnsi="黑体" w:eastAsia="黑体"/>
          <w:sz w:val="32"/>
        </w:rPr>
        <w:t>第五部分</w:t>
      </w:r>
      <w:r>
        <w:rPr>
          <w:rStyle w:val="22"/>
          <w:rFonts w:ascii="黑体" w:hAnsi="黑体" w:eastAsia="黑体"/>
          <w:sz w:val="32"/>
        </w:rPr>
        <w:t xml:space="preserve">  </w:t>
      </w:r>
      <w:r>
        <w:rPr>
          <w:rStyle w:val="22"/>
          <w:rFonts w:hint="eastAsia" w:ascii="黑体" w:hAnsi="黑体" w:eastAsia="黑体"/>
          <w:sz w:val="32"/>
        </w:rPr>
        <w:t>附件</w:t>
      </w:r>
      <w:r>
        <w:rPr>
          <w:rStyle w:val="22"/>
          <w:rFonts w:ascii="黑体" w:hAnsi="黑体" w:eastAsia="黑体"/>
          <w:sz w:val="32"/>
        </w:rPr>
        <w:t>/</w:t>
      </w:r>
      <w:r>
        <w:rPr>
          <w:rStyle w:val="22"/>
          <w:rFonts w:hint="eastAsia" w:ascii="黑体" w:hAnsi="黑体" w:eastAsia="黑体"/>
          <w:sz w:val="32"/>
        </w:rPr>
        <w:t>报价文件格式</w:t>
      </w:r>
      <w:r>
        <w:rPr>
          <w:sz w:val="32"/>
        </w:rPr>
        <w:tab/>
      </w:r>
      <w:r>
        <w:rPr>
          <w:sz w:val="32"/>
        </w:rPr>
        <w:fldChar w:fldCharType="begin"/>
      </w:r>
      <w:r>
        <w:rPr>
          <w:sz w:val="32"/>
        </w:rPr>
        <w:instrText xml:space="preserve"> PAGEREF _Toc41986765 \h </w:instrText>
      </w:r>
      <w:r>
        <w:rPr>
          <w:sz w:val="32"/>
        </w:rPr>
        <w:fldChar w:fldCharType="separate"/>
      </w:r>
      <w:r>
        <w:rPr>
          <w:sz w:val="32"/>
        </w:rPr>
        <w:t>27</w:t>
      </w:r>
      <w:r>
        <w:rPr>
          <w:sz w:val="32"/>
        </w:rPr>
        <w:fldChar w:fldCharType="end"/>
      </w:r>
      <w:r>
        <w:rPr>
          <w:sz w:val="32"/>
        </w:rPr>
        <w:fldChar w:fldCharType="end"/>
      </w:r>
    </w:p>
    <w:p>
      <w:pPr>
        <w:spacing w:line="440" w:lineRule="exact"/>
        <w:rPr>
          <w:rFonts w:ascii="宋体" w:hAnsi="宋体" w:eastAsia="宋体" w:cs="Times New Roman"/>
          <w:kern w:val="0"/>
          <w:sz w:val="32"/>
          <w:szCs w:val="24"/>
        </w:rPr>
      </w:pPr>
      <w:r>
        <w:rPr>
          <w:rFonts w:ascii="宋体" w:hAnsi="宋体" w:eastAsia="宋体" w:cs="Times New Roman"/>
          <w:kern w:val="0"/>
          <w:sz w:val="32"/>
          <w:szCs w:val="24"/>
        </w:rPr>
        <w:fldChar w:fldCharType="end"/>
      </w:r>
    </w:p>
    <w:p>
      <w:pPr>
        <w:spacing w:line="440" w:lineRule="exact"/>
        <w:ind w:firstLine="462" w:firstLineChars="200"/>
        <w:rPr>
          <w:rFonts w:ascii="宋体" w:hAnsi="宋体" w:eastAsia="宋体" w:cs="Times New Roman"/>
          <w:kern w:val="0"/>
          <w:sz w:val="24"/>
          <w:szCs w:val="24"/>
        </w:rPr>
      </w:pPr>
    </w:p>
    <w:p>
      <w:pPr>
        <w:spacing w:before="579" w:beforeLines="100" w:line="440" w:lineRule="exact"/>
        <w:jc w:val="center"/>
        <w:rPr>
          <w:rFonts w:ascii="宋体" w:hAnsi="宋体" w:eastAsia="宋体" w:cs="Times New Roman"/>
          <w:kern w:val="0"/>
          <w:sz w:val="24"/>
          <w:szCs w:val="2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spacing w:line="360" w:lineRule="exact"/>
        <w:jc w:val="center"/>
        <w:rPr>
          <w:rFonts w:ascii="黑体" w:hAnsi="黑体" w:eastAsia="黑体"/>
          <w:kern w:val="0"/>
          <w:sz w:val="32"/>
          <w:szCs w:val="32"/>
        </w:rPr>
      </w:pPr>
      <w:bookmarkStart w:id="1" w:name="_Toc285612593"/>
      <w:bookmarkStart w:id="2" w:name="_Toc435540978"/>
      <w:bookmarkStart w:id="3" w:name="_Toc41986761"/>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3"/>
    </w:p>
    <w:bookmarkEnd w:id="0"/>
    <w:p>
      <w:pPr>
        <w:adjustRightInd w:val="0"/>
        <w:snapToGrid w:val="0"/>
        <w:spacing w:line="360" w:lineRule="exact"/>
        <w:jc w:val="center"/>
        <w:rPr>
          <w:rFonts w:ascii="Tahoma" w:hAnsi="Tahoma" w:cs="Tahoma"/>
          <w:b/>
          <w:bCs/>
          <w:color w:val="auto"/>
          <w:kern w:val="0"/>
          <w:sz w:val="28"/>
          <w:szCs w:val="28"/>
        </w:rPr>
      </w:pPr>
      <w:r>
        <w:rPr>
          <w:rFonts w:hint="eastAsia" w:ascii="Tahoma" w:hAnsi="Tahoma" w:cs="Tahoma"/>
          <w:b/>
          <w:bCs/>
          <w:kern w:val="0"/>
          <w:sz w:val="28"/>
          <w:szCs w:val="28"/>
        </w:rPr>
        <w:t>关于康复数字化管理系统维护升级的单一来源采购</w:t>
      </w:r>
      <w:r>
        <w:rPr>
          <w:rFonts w:ascii="Tahoma" w:hAnsi="Tahoma" w:cs="Tahoma"/>
          <w:b/>
          <w:bCs/>
          <w:kern w:val="0"/>
          <w:sz w:val="28"/>
          <w:szCs w:val="28"/>
        </w:rPr>
        <w:t>公告</w:t>
      </w:r>
      <w:r>
        <w:rPr>
          <w:rFonts w:hint="eastAsia" w:ascii="Tahoma" w:hAnsi="Tahoma" w:cs="Tahoma"/>
          <w:color w:val="auto"/>
          <w:kern w:val="0"/>
          <w:sz w:val="28"/>
          <w:szCs w:val="28"/>
        </w:rPr>
        <w:t>2020-JL13（03）-F50005</w:t>
      </w:r>
    </w:p>
    <w:p>
      <w:pPr>
        <w:spacing w:line="360" w:lineRule="exact"/>
        <w:ind w:firstLine="462" w:firstLineChars="200"/>
        <w:rPr>
          <w:rFonts w:ascii="宋体" w:hAnsi="宋体" w:eastAsia="宋体" w:cs="Times New Roman"/>
          <w:kern w:val="0"/>
          <w:sz w:val="24"/>
          <w:szCs w:val="24"/>
        </w:rPr>
      </w:pPr>
    </w:p>
    <w:p>
      <w:pPr>
        <w:spacing w:line="360" w:lineRule="exact"/>
        <w:ind w:firstLine="924" w:firstLineChars="400"/>
        <w:rPr>
          <w:rFonts w:ascii="宋体" w:hAnsi="宋体" w:eastAsia="宋体" w:cs="Times New Roman"/>
          <w:kern w:val="0"/>
          <w:sz w:val="24"/>
          <w:szCs w:val="24"/>
        </w:rPr>
      </w:pPr>
      <w:r>
        <w:rPr>
          <w:rFonts w:hint="eastAsia" w:ascii="宋体" w:hAnsi="宋体" w:eastAsia="宋体" w:cs="Times New Roman"/>
          <w:kern w:val="0"/>
          <w:sz w:val="24"/>
          <w:szCs w:val="24"/>
        </w:rPr>
        <w:t>我院就以下项目进行单一来源采购，</w:t>
      </w:r>
      <w:r>
        <w:rPr>
          <w:rFonts w:hint="eastAsia" w:cs="Times New Roman" w:asciiTheme="minorEastAsia" w:hAnsiTheme="minorEastAsia"/>
          <w:kern w:val="0"/>
          <w:sz w:val="24"/>
          <w:szCs w:val="24"/>
        </w:rPr>
        <w:t>现将有关事项公示如下</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项目名称：</w:t>
      </w:r>
      <w:r>
        <w:rPr>
          <w:rFonts w:hint="eastAsia" w:ascii="宋体" w:hAnsi="宋体" w:eastAsia="宋体" w:cs="Times New Roman"/>
          <w:kern w:val="0"/>
          <w:sz w:val="24"/>
          <w:szCs w:val="24"/>
        </w:rPr>
        <w:t>康复数字化管理系统维护升级</w:t>
      </w:r>
    </w:p>
    <w:p>
      <w:pPr>
        <w:tabs>
          <w:tab w:val="left" w:pos="0"/>
          <w:tab w:val="left" w:pos="1122"/>
        </w:tabs>
        <w:spacing w:line="440" w:lineRule="exact"/>
        <w:ind w:firstLine="462"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二、</w:t>
      </w:r>
      <w:r>
        <w:rPr>
          <w:rFonts w:ascii="宋体" w:hAnsi="宋体" w:eastAsia="宋体" w:cs="Times New Roman"/>
          <w:kern w:val="0"/>
          <w:sz w:val="24"/>
          <w:szCs w:val="24"/>
        </w:rPr>
        <w:t>项目编号：</w:t>
      </w:r>
      <w:r>
        <w:rPr>
          <w:rFonts w:hint="eastAsia" w:ascii="宋体" w:hAnsi="宋体" w:eastAsia="宋体" w:cs="Times New Roman"/>
          <w:kern w:val="0"/>
          <w:sz w:val="24"/>
          <w:szCs w:val="24"/>
        </w:rPr>
        <w:t>2020-JL13（03）-F50005</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三、项目概况</w:t>
      </w:r>
      <w:r>
        <w:rPr>
          <w:rFonts w:ascii="宋体" w:hAnsi="宋体" w:eastAsia="宋体" w:cs="Times New Roman"/>
          <w:kern w:val="0"/>
          <w:sz w:val="24"/>
          <w:szCs w:val="24"/>
        </w:rPr>
        <w:t>：</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708"/>
        <w:gridCol w:w="991"/>
        <w:gridCol w:w="862"/>
        <w:gridCol w:w="917"/>
        <w:gridCol w:w="1058"/>
        <w:gridCol w:w="992"/>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包号</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color w:val="FF0000"/>
                <w:sz w:val="24"/>
                <w:szCs w:val="24"/>
              </w:rPr>
            </w:pPr>
            <w:r>
              <w:rPr>
                <w:rFonts w:hint="eastAsia" w:ascii="宋体" w:hAnsi="宋体" w:eastAsia="宋体" w:cs="Times New Roman"/>
                <w:snapToGrid w:val="0"/>
                <w:color w:val="auto"/>
                <w:kern w:val="0"/>
                <w:sz w:val="24"/>
                <w:szCs w:val="24"/>
              </w:rPr>
              <w:t>名称</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规格</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型号</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技术</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要求</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计量</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单位</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数量</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交货</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时间</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交货</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地点</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2"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1</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kern w:val="0"/>
                <w:sz w:val="24"/>
                <w:szCs w:val="24"/>
              </w:rPr>
              <w:t>康复数字化管理系统维护升级</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kern w:val="0"/>
                <w:sz w:val="24"/>
                <w:szCs w:val="24"/>
              </w:rPr>
              <w:t>详见谈判文件附件19</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项</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1</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cs="Times New Roman" w:asciiTheme="minorEastAsia" w:hAnsiTheme="minorEastAsia"/>
                <w:szCs w:val="21"/>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重庆市</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宋体" w:hAnsi="宋体" w:eastAsia="宋体" w:cs="Times New Roman"/>
                <w:sz w:val="24"/>
                <w:szCs w:val="24"/>
              </w:rPr>
            </w:pPr>
            <w:r>
              <w:rPr>
                <w:rFonts w:hint="eastAsia" w:ascii="宋体" w:hAnsi="宋体" w:eastAsia="宋体" w:cs="Times New Roman"/>
                <w:sz w:val="24"/>
                <w:szCs w:val="24"/>
              </w:rPr>
              <w:t xml:space="preserve">预算 </w:t>
            </w:r>
          </w:p>
        </w:tc>
        <w:tc>
          <w:tcPr>
            <w:tcW w:w="8243"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sz w:val="24"/>
                <w:szCs w:val="24"/>
              </w:rPr>
            </w:pPr>
            <w:r>
              <w:rPr>
                <w:rFonts w:hint="eastAsia" w:ascii="宋体" w:hAnsi="宋体" w:eastAsia="宋体" w:cs="Times New Roman"/>
                <w:sz w:val="24"/>
                <w:szCs w:val="24"/>
              </w:rPr>
              <w:t>小写：¥200,000.00元        大写：贰拾万元整</w:t>
            </w:r>
          </w:p>
        </w:tc>
      </w:tr>
    </w:tbl>
    <w:p>
      <w:pPr>
        <w:tabs>
          <w:tab w:val="left" w:pos="0"/>
          <w:tab w:val="left" w:pos="1122"/>
        </w:tabs>
        <w:spacing w:line="440" w:lineRule="exact"/>
        <w:rPr>
          <w:rFonts w:ascii="宋体" w:hAnsi="宋体" w:eastAsia="宋体" w:cs="Times New Roman"/>
          <w:kern w:val="0"/>
          <w:sz w:val="24"/>
          <w:szCs w:val="24"/>
        </w:rPr>
      </w:pP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四、拟定供应商：</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成都华唯科技股份有限公司</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五、单一来源采购理由：</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医院现在使用的康复数字化管理系统是由成都华唯科技股份有限公司开发并维护运行，基于以上客观原因，该项目符合《政府采购法》第三十一条第（一）款和《军队物资采购管理规定》第三十一条第（一）款“只能从唯一供应商处采购的”之规定，因此建议采用单一来源方式采购，特予公示。</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六、公示日期：</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u w:val="single"/>
          <w:lang w:val="en-US" w:eastAsia="zh-CN"/>
        </w:rPr>
        <w:t>2020</w:t>
      </w:r>
      <w:r>
        <w:rPr>
          <w:rFonts w:hint="eastAsia" w:ascii="宋体" w:hAnsi="宋体" w:eastAsia="宋体" w:cs="Times New Roman"/>
          <w:kern w:val="0"/>
          <w:sz w:val="24"/>
          <w:szCs w:val="24"/>
        </w:rPr>
        <w:t>年</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10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27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日至</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11</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u w:val="single"/>
          <w:lang w:val="en-US" w:eastAsia="zh-CN"/>
        </w:rPr>
        <w:t xml:space="preserve"> 3</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日（五个工作日）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若潜在供应商对该项目拟采用单一来源采购方式及其理由和拟定供应商有异议的，请在公示期内以书面形式向物资采购中心提出意见，该公示期结束后提出的异议将不再受理。</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七、采购机构联系方式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陈老师、姚老师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023-6876615</w:t>
      </w:r>
      <w:r>
        <w:rPr>
          <w:rFonts w:hint="eastAsia" w:cs="Times New Roman" w:asciiTheme="minorEastAsia" w:hAnsiTheme="minorEastAsia"/>
          <w:kern w:val="0"/>
          <w:sz w:val="24"/>
          <w:szCs w:val="24"/>
          <w:u w:val="single"/>
          <w:lang w:val="en-US" w:eastAsia="zh-CN"/>
        </w:rPr>
        <w:t>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p>
    <w:p>
      <w:pPr>
        <w:spacing w:after="289" w:afterLines="50" w:line="440" w:lineRule="exact"/>
        <w:ind w:left="4167" w:leftChars="432" w:hanging="3299" w:hangingChars="1428"/>
        <w:jc w:val="left"/>
        <w:rPr>
          <w:rFonts w:ascii="宋体" w:hAnsi="宋体" w:eastAsia="宋体" w:cs="Times New Roman"/>
          <w:kern w:val="0"/>
          <w:sz w:val="24"/>
          <w:szCs w:val="24"/>
        </w:rPr>
      </w:pPr>
    </w:p>
    <w:p>
      <w:pPr>
        <w:spacing w:line="440" w:lineRule="exact"/>
        <w:ind w:left="4652" w:leftChars="2310" w:hanging="9" w:hangingChars="4"/>
        <w:rPr>
          <w:rFonts w:ascii="宋体" w:hAnsi="宋体" w:eastAsia="宋体" w:cs="Times New Roman"/>
          <w:kern w:val="0"/>
          <w:sz w:val="24"/>
          <w:szCs w:val="24"/>
        </w:rPr>
      </w:pPr>
      <w:r>
        <w:rPr>
          <w:rFonts w:hint="eastAsia" w:cs="Times New Roman" w:asciiTheme="minorEastAsia" w:hAnsiTheme="minorEastAsia"/>
          <w:kern w:val="0"/>
          <w:sz w:val="24"/>
          <w:szCs w:val="24"/>
        </w:rPr>
        <w:t>物资采购中心</w:t>
      </w:r>
    </w:p>
    <w:p>
      <w:pPr>
        <w:autoSpaceDE w:val="0"/>
        <w:autoSpaceDN w:val="0"/>
        <w:adjustRightInd w:val="0"/>
        <w:spacing w:line="440" w:lineRule="exact"/>
        <w:rPr>
          <w:rFonts w:ascii="宋体" w:hAnsi="宋体" w:eastAsia="宋体" w:cs="Times New Roman"/>
          <w:kern w:val="0"/>
          <w:sz w:val="24"/>
          <w:szCs w:val="24"/>
        </w:rPr>
      </w:pPr>
    </w:p>
    <w:p>
      <w:pPr>
        <w:autoSpaceDE w:val="0"/>
        <w:autoSpaceDN w:val="0"/>
        <w:adjustRightInd w:val="0"/>
        <w:spacing w:line="440" w:lineRule="exact"/>
        <w:rPr>
          <w:rFonts w:ascii="宋体" w:hAnsi="宋体" w:eastAsia="宋体" w:cs="Times New Roman"/>
          <w:kern w:val="0"/>
          <w:sz w:val="24"/>
          <w:szCs w:val="24"/>
        </w:rPr>
        <w:sectPr>
          <w:headerReference r:id="rId3" w:type="default"/>
          <w:footerReference r:id="rId4" w:type="default"/>
          <w:pgSz w:w="11906" w:h="16838"/>
          <w:pgMar w:top="2098" w:right="1474" w:bottom="1985" w:left="1588" w:header="851" w:footer="851" w:gutter="0"/>
          <w:pgNumType w:start="1"/>
          <w:cols w:space="425" w:num="1"/>
          <w:docGrid w:type="linesAndChars" w:linePitch="579" w:charSpace="-1844"/>
        </w:sectPr>
      </w:pPr>
    </w:p>
    <w:p>
      <w:pPr>
        <w:pStyle w:val="2"/>
        <w:adjustRightInd w:val="0"/>
        <w:spacing w:line="360" w:lineRule="atLeast"/>
        <w:jc w:val="center"/>
        <w:rPr>
          <w:rFonts w:ascii="黑体" w:hAnsi="黑体" w:eastAsia="黑体"/>
          <w:kern w:val="0"/>
          <w:sz w:val="32"/>
          <w:szCs w:val="32"/>
          <w:lang w:val="zh-CN"/>
        </w:rPr>
      </w:pPr>
      <w:bookmarkStart w:id="4" w:name="_Toc435540979"/>
      <w:bookmarkStart w:id="5" w:name="_Toc41986762"/>
      <w:bookmarkStart w:id="6" w:name="_Toc285612594"/>
      <w:bookmarkStart w:id="7" w:name="_Toc390713967"/>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pacing w:line="360" w:lineRule="atLeast"/>
        <w:ind w:firstLine="462" w:firstLineChars="200"/>
        <w:rPr>
          <w:rFonts w:ascii="宋体" w:hAnsi="宋体" w:eastAsia="宋体" w:cs="Times New Roman"/>
          <w:color w:val="auto"/>
          <w:kern w:val="0"/>
          <w:sz w:val="24"/>
          <w:szCs w:val="24"/>
        </w:rPr>
      </w:pPr>
      <w:r>
        <w:rPr>
          <w:rFonts w:hint="eastAsia" w:ascii="宋体" w:hAnsi="宋体" w:eastAsia="宋体" w:cs="Times New Roman"/>
          <w:kern w:val="0"/>
          <w:sz w:val="24"/>
          <w:szCs w:val="24"/>
        </w:rPr>
        <w:t>一、</w:t>
      </w:r>
      <w:r>
        <w:rPr>
          <w:rFonts w:hint="eastAsia" w:ascii="宋体" w:hAnsi="宋体" w:eastAsia="宋体" w:cs="Times New Roman"/>
          <w:color w:val="auto"/>
          <w:kern w:val="0"/>
          <w:sz w:val="24"/>
          <w:szCs w:val="24"/>
        </w:rPr>
        <w:t>项目</w:t>
      </w:r>
      <w:r>
        <w:rPr>
          <w:rFonts w:ascii="宋体" w:hAnsi="宋体" w:eastAsia="宋体" w:cs="Times New Roman"/>
          <w:color w:val="auto"/>
          <w:kern w:val="0"/>
          <w:sz w:val="24"/>
          <w:szCs w:val="24"/>
        </w:rPr>
        <w:t>一览表</w:t>
      </w:r>
      <w:bookmarkStart w:id="8" w:name="_Toc285612596"/>
      <w:r>
        <w:rPr>
          <w:rFonts w:ascii="宋体" w:hAnsi="宋体" w:eastAsia="宋体" w:cs="Times New Roman"/>
          <w:color w:val="auto"/>
          <w:kern w:val="0"/>
          <w:sz w:val="24"/>
          <w:szCs w:val="24"/>
        </w:rPr>
        <w:t>及技术</w:t>
      </w:r>
      <w:r>
        <w:rPr>
          <w:rFonts w:hint="eastAsia" w:ascii="宋体" w:hAnsi="宋体" w:eastAsia="宋体" w:cs="Times New Roman"/>
          <w:color w:val="auto"/>
          <w:kern w:val="0"/>
          <w:sz w:val="24"/>
          <w:szCs w:val="24"/>
        </w:rPr>
        <w:t>要求</w:t>
      </w:r>
    </w:p>
    <w:tbl>
      <w:tblPr>
        <w:tblStyle w:val="18"/>
        <w:tblW w:w="5000" w:type="pct"/>
        <w:jc w:val="center"/>
        <w:tblLayout w:type="autofit"/>
        <w:tblCellMar>
          <w:top w:w="0" w:type="dxa"/>
          <w:left w:w="108" w:type="dxa"/>
          <w:bottom w:w="0" w:type="dxa"/>
          <w:right w:w="108" w:type="dxa"/>
        </w:tblCellMar>
      </w:tblPr>
      <w:tblGrid>
        <w:gridCol w:w="814"/>
        <w:gridCol w:w="1988"/>
        <w:gridCol w:w="850"/>
        <w:gridCol w:w="2768"/>
        <w:gridCol w:w="962"/>
        <w:gridCol w:w="851"/>
        <w:gridCol w:w="827"/>
      </w:tblGrid>
      <w:tr>
        <w:tblPrEx>
          <w:tblCellMar>
            <w:top w:w="0" w:type="dxa"/>
            <w:left w:w="108" w:type="dxa"/>
            <w:bottom w:w="0" w:type="dxa"/>
            <w:right w:w="108" w:type="dxa"/>
          </w:tblCellMar>
        </w:tblPrEx>
        <w:trPr>
          <w:trHeight w:val="1105" w:hRule="exac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color w:val="auto"/>
                <w:kern w:val="0"/>
                <w:sz w:val="24"/>
                <w:szCs w:val="24"/>
              </w:rPr>
            </w:pPr>
            <w:r>
              <w:rPr>
                <w:rFonts w:ascii="宋体" w:hAnsi="宋体" w:eastAsia="宋体" w:cs="Times New Roman"/>
                <w:color w:val="auto"/>
                <w:kern w:val="0"/>
                <w:sz w:val="24"/>
                <w:szCs w:val="24"/>
              </w:rPr>
              <w:t>包号</w:t>
            </w:r>
          </w:p>
        </w:tc>
        <w:tc>
          <w:tcPr>
            <w:tcW w:w="198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color w:val="auto"/>
                <w:kern w:val="0"/>
                <w:sz w:val="24"/>
                <w:szCs w:val="24"/>
              </w:rPr>
            </w:pPr>
            <w:r>
              <w:rPr>
                <w:rFonts w:ascii="宋体" w:hAnsi="宋体" w:eastAsia="宋体" w:cs="Times New Roman"/>
                <w:color w:val="auto"/>
                <w:kern w:val="0"/>
                <w:sz w:val="24"/>
                <w:szCs w:val="24"/>
              </w:rPr>
              <w:t>名称</w:t>
            </w:r>
          </w:p>
        </w:tc>
        <w:tc>
          <w:tcPr>
            <w:tcW w:w="85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color w:val="auto"/>
                <w:kern w:val="0"/>
                <w:sz w:val="24"/>
                <w:szCs w:val="24"/>
              </w:rPr>
            </w:pPr>
            <w:r>
              <w:rPr>
                <w:rFonts w:ascii="宋体" w:hAnsi="宋体" w:eastAsia="宋体" w:cs="Times New Roman"/>
                <w:color w:val="auto"/>
                <w:kern w:val="0"/>
                <w:sz w:val="24"/>
                <w:szCs w:val="24"/>
              </w:rPr>
              <w:t>规格型号</w:t>
            </w:r>
          </w:p>
        </w:tc>
        <w:tc>
          <w:tcPr>
            <w:tcW w:w="27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color w:val="auto"/>
                <w:kern w:val="0"/>
                <w:sz w:val="24"/>
                <w:szCs w:val="24"/>
              </w:rPr>
            </w:pPr>
            <w:r>
              <w:rPr>
                <w:rFonts w:hint="eastAsia" w:cs="Times New Roman" w:asciiTheme="minorEastAsia" w:hAnsiTheme="minorEastAsia"/>
                <w:color w:val="auto"/>
                <w:kern w:val="0"/>
                <w:sz w:val="24"/>
                <w:szCs w:val="24"/>
              </w:rPr>
              <w:t>技术指标参数要求</w:t>
            </w:r>
          </w:p>
        </w:tc>
        <w:tc>
          <w:tcPr>
            <w:tcW w:w="96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color w:val="auto"/>
                <w:kern w:val="0"/>
                <w:sz w:val="24"/>
                <w:szCs w:val="24"/>
              </w:rPr>
            </w:pPr>
            <w:r>
              <w:rPr>
                <w:rFonts w:ascii="宋体" w:hAnsi="宋体" w:eastAsia="宋体" w:cs="Times New Roman"/>
                <w:color w:val="auto"/>
                <w:kern w:val="0"/>
                <w:sz w:val="24"/>
                <w:szCs w:val="24"/>
              </w:rPr>
              <w:t>计量</w:t>
            </w:r>
          </w:p>
          <w:p>
            <w:pPr>
              <w:widowControl/>
              <w:spacing w:line="360" w:lineRule="exact"/>
              <w:jc w:val="center"/>
              <w:rPr>
                <w:rFonts w:ascii="宋体" w:hAnsi="宋体" w:eastAsia="宋体" w:cs="Times New Roman"/>
                <w:color w:val="auto"/>
                <w:kern w:val="0"/>
                <w:sz w:val="24"/>
                <w:szCs w:val="24"/>
              </w:rPr>
            </w:pPr>
            <w:r>
              <w:rPr>
                <w:rFonts w:ascii="宋体" w:hAnsi="宋体" w:eastAsia="宋体" w:cs="Times New Roman"/>
                <w:color w:val="auto"/>
                <w:kern w:val="0"/>
                <w:sz w:val="24"/>
                <w:szCs w:val="24"/>
              </w:rPr>
              <w:t>单位</w:t>
            </w:r>
          </w:p>
        </w:tc>
        <w:tc>
          <w:tcPr>
            <w:tcW w:w="8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color w:val="auto"/>
                <w:kern w:val="0"/>
                <w:sz w:val="24"/>
                <w:szCs w:val="24"/>
              </w:rPr>
            </w:pPr>
            <w:r>
              <w:rPr>
                <w:rFonts w:ascii="宋体" w:hAnsi="宋体" w:eastAsia="宋体" w:cs="Times New Roman"/>
                <w:color w:val="auto"/>
                <w:kern w:val="0"/>
                <w:sz w:val="24"/>
                <w:szCs w:val="24"/>
              </w:rPr>
              <w:t>数量</w:t>
            </w:r>
          </w:p>
        </w:tc>
        <w:tc>
          <w:tcPr>
            <w:tcW w:w="8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color w:val="auto"/>
                <w:kern w:val="0"/>
                <w:sz w:val="24"/>
                <w:szCs w:val="24"/>
              </w:rPr>
            </w:pPr>
            <w:r>
              <w:rPr>
                <w:rFonts w:ascii="宋体" w:hAnsi="宋体" w:eastAsia="宋体" w:cs="Times New Roman"/>
                <w:color w:val="auto"/>
                <w:kern w:val="0"/>
                <w:sz w:val="24"/>
                <w:szCs w:val="24"/>
              </w:rPr>
              <w:t>备注</w:t>
            </w:r>
          </w:p>
        </w:tc>
      </w:tr>
      <w:tr>
        <w:tblPrEx>
          <w:tblCellMar>
            <w:top w:w="0" w:type="dxa"/>
            <w:left w:w="108" w:type="dxa"/>
            <w:bottom w:w="0" w:type="dxa"/>
            <w:right w:w="108" w:type="dxa"/>
          </w:tblCellMar>
        </w:tblPrEx>
        <w:trPr>
          <w:trHeight w:val="1184"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988"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康复数字化管理系统维护升级</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w:t>
            </w:r>
          </w:p>
        </w:tc>
        <w:tc>
          <w:tcPr>
            <w:tcW w:w="276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27" w:firstLineChars="98"/>
              <w:jc w:val="left"/>
              <w:rPr>
                <w:rFonts w:ascii="宋体" w:hAnsi="宋体" w:eastAsia="宋体" w:cs="Times New Roman"/>
                <w:kern w:val="0"/>
                <w:sz w:val="24"/>
                <w:szCs w:val="24"/>
              </w:rPr>
            </w:pPr>
            <w:r>
              <w:rPr>
                <w:rFonts w:hint="eastAsia" w:ascii="宋体" w:hAnsi="宋体" w:eastAsia="宋体" w:cs="Times New Roman"/>
                <w:kern w:val="0"/>
                <w:sz w:val="24"/>
                <w:szCs w:val="24"/>
              </w:rPr>
              <w:t>详见谈判文件附件19</w:t>
            </w:r>
          </w:p>
        </w:tc>
        <w:tc>
          <w:tcPr>
            <w:tcW w:w="962"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项</w:t>
            </w:r>
          </w:p>
        </w:tc>
        <w:tc>
          <w:tcPr>
            <w:tcW w:w="851" w:type="dxa"/>
            <w:tcBorders>
              <w:top w:val="single" w:color="auto" w:sz="4" w:space="0"/>
              <w:left w:val="nil"/>
              <w:bottom w:val="single" w:color="auto" w:sz="4" w:space="0"/>
              <w:right w:val="single" w:color="auto" w:sz="4" w:space="0"/>
            </w:tcBorders>
            <w:noWrap/>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827"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eastAsia="宋体" w:cs="Times New Roman"/>
                <w:kern w:val="0"/>
                <w:sz w:val="24"/>
                <w:szCs w:val="24"/>
              </w:rPr>
            </w:pPr>
          </w:p>
        </w:tc>
      </w:tr>
      <w:bookmarkEnd w:id="8"/>
    </w:tbl>
    <w:p>
      <w:pPr>
        <w:spacing w:line="440" w:lineRule="exact"/>
        <w:ind w:firstLine="462" w:firstLineChars="200"/>
        <w:rPr>
          <w:rFonts w:ascii="宋体" w:hAnsi="宋体" w:eastAsia="宋体" w:cs="Times New Roman"/>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w:t>
      </w:r>
      <w:r>
        <w:rPr>
          <w:rFonts w:hint="eastAsia" w:ascii="宋体" w:hAnsi="宋体" w:eastAsia="宋体" w:cs="Times New Roman"/>
          <w:kern w:val="0"/>
          <w:sz w:val="24"/>
          <w:szCs w:val="24"/>
          <w:lang w:val="zh-CN"/>
        </w:rPr>
        <w:t>（有1项不满足即按无效报价处理），</w:t>
      </w:r>
      <w:r>
        <w:rPr>
          <w:rFonts w:hint="eastAsia" w:cs="Times New Roman" w:asciiTheme="minorEastAsia" w:hAnsiTheme="minorEastAsia"/>
          <w:kern w:val="0"/>
          <w:sz w:val="24"/>
          <w:szCs w:val="24"/>
          <w:lang w:val="zh-CN"/>
        </w:rPr>
        <w:t>重要指标参数以▲标记，一般技术指标参数不作标记。</w:t>
      </w:r>
      <w:r>
        <w:rPr>
          <w:rFonts w:hint="eastAsia" w:ascii="宋体" w:hAnsi="宋体" w:eastAsia="宋体" w:cs="Times New Roman"/>
          <w:kern w:val="0"/>
          <w:sz w:val="24"/>
          <w:szCs w:val="24"/>
          <w:lang w:val="zh-CN"/>
        </w:rPr>
        <w:t>报价方须提供技术支持资料</w:t>
      </w:r>
      <w:r>
        <w:rPr>
          <w:rFonts w:hint="eastAsia" w:ascii="宋体" w:hAnsi="宋体" w:eastAsia="宋体" w:cs="Times New Roman"/>
          <w:kern w:val="0"/>
          <w:sz w:val="24"/>
          <w:szCs w:val="24"/>
        </w:rPr>
        <w:t>，包括制造商公开发布的资料（含制造商出具的产品规格表或检测机构出具的检测报告）。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ascii="宋体" w:hAnsi="宋体" w:eastAsia="宋体" w:cs="Times New Roman"/>
          <w:kern w:val="0"/>
          <w:sz w:val="24"/>
          <w:szCs w:val="24"/>
          <w:lang w:val="zh-CN"/>
        </w:rPr>
        <w:t>★（一）</w:t>
      </w:r>
      <w:r>
        <w:rPr>
          <w:rFonts w:hint="eastAsia" w:cs="Times New Roman" w:asciiTheme="minorEastAsia" w:hAnsiTheme="minorEastAsia"/>
          <w:kern w:val="0"/>
          <w:sz w:val="24"/>
          <w:szCs w:val="24"/>
          <w:lang w:val="zh-CN"/>
        </w:rPr>
        <w:t>交货时间：</w:t>
      </w:r>
      <w:r>
        <w:rPr>
          <w:rFonts w:hint="eastAsia" w:cs="Times New Roman" w:asciiTheme="minorEastAsia" w:hAnsiTheme="minorEastAsia"/>
          <w:kern w:val="0"/>
          <w:sz w:val="24"/>
          <w:szCs w:val="24"/>
          <w:u w:val="single"/>
        </w:rPr>
        <w:t xml:space="preserve">    /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zh-CN"/>
        </w:rPr>
        <w:t xml:space="preserve"> </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★（二）售后服务</w:t>
      </w:r>
    </w:p>
    <w:p>
      <w:pPr>
        <w:adjustRightInd w:val="0"/>
        <w:snapToGrid w:val="0"/>
        <w:spacing w:line="440" w:lineRule="exact"/>
        <w:ind w:firstLine="462" w:firstLineChars="200"/>
        <w:rPr>
          <w:rFonts w:cs="Times New Roman" w:asciiTheme="minorEastAsia" w:hAnsiTheme="minorEastAsia"/>
          <w:color w:val="auto"/>
          <w:kern w:val="0"/>
          <w:sz w:val="24"/>
          <w:szCs w:val="24"/>
          <w:lang w:val="zh-CN"/>
        </w:rPr>
      </w:pPr>
      <w:r>
        <w:rPr>
          <w:rFonts w:hint="eastAsia" w:cs="Times New Roman" w:asciiTheme="minorEastAsia" w:hAnsiTheme="minorEastAsia"/>
          <w:kern w:val="0"/>
          <w:sz w:val="24"/>
          <w:szCs w:val="24"/>
          <w:lang w:val="zh-CN"/>
        </w:rPr>
        <w:t>1. 服务期：自验收合格之日起，整体服务期</w:t>
      </w:r>
      <w:r>
        <w:rPr>
          <w:rFonts w:hint="eastAsia" w:cs="Times New Roman" w:asciiTheme="minorEastAsia" w:hAnsiTheme="minorEastAsia"/>
          <w:kern w:val="0"/>
          <w:sz w:val="24"/>
          <w:szCs w:val="24"/>
          <w:u w:val="single"/>
          <w:lang w:val="zh-CN"/>
        </w:rPr>
        <w:t xml:space="preserve"> 1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服务期内，除消耗品和人为损坏外，一切均免费维修和维护。</w:t>
      </w:r>
      <w:r>
        <w:rPr>
          <w:rFonts w:hint="eastAsia" w:cs="Times New Roman" w:asciiTheme="minorEastAsia" w:hAnsiTheme="minorEastAsia"/>
          <w:kern w:val="0"/>
          <w:sz w:val="24"/>
          <w:szCs w:val="24"/>
          <w:lang w:val="zh-CN"/>
        </w:rPr>
        <w:t>整体服务期</w:t>
      </w:r>
      <w:r>
        <w:rPr>
          <w:rFonts w:hint="eastAsia" w:cs="Times New Roman" w:asciiTheme="minorEastAsia" w:hAnsiTheme="minorEastAsia"/>
          <w:kern w:val="0"/>
          <w:sz w:val="24"/>
          <w:szCs w:val="24"/>
        </w:rPr>
        <w:t>外，</w:t>
      </w:r>
      <w:r>
        <w:rPr>
          <w:rFonts w:hint="eastAsia" w:cs="Times New Roman" w:asciiTheme="minorEastAsia" w:hAnsiTheme="minorEastAsia"/>
          <w:color w:val="auto"/>
          <w:kern w:val="0"/>
          <w:sz w:val="24"/>
          <w:szCs w:val="24"/>
        </w:rPr>
        <w:t>提供终身维修等技术服务保障承诺（因产品或配件停产等导致设备无法维修的原因除外）</w:t>
      </w:r>
      <w:r>
        <w:rPr>
          <w:rFonts w:cs="Times New Roman" w:asciiTheme="minorEastAsia" w:hAnsiTheme="minorEastAsia"/>
          <w:color w:val="auto"/>
          <w:kern w:val="0"/>
          <w:sz w:val="24"/>
          <w:szCs w:val="24"/>
        </w:rPr>
        <w:t>。</w:t>
      </w:r>
    </w:p>
    <w:p>
      <w:pPr>
        <w:adjustRightInd w:val="0"/>
        <w:snapToGrid w:val="0"/>
        <w:spacing w:line="440" w:lineRule="exact"/>
        <w:ind w:firstLine="462" w:firstLineChars="200"/>
        <w:rPr>
          <w:rFonts w:hint="eastAsia" w:cs="Times New Roman" w:asciiTheme="minorEastAsia" w:hAnsiTheme="minorEastAsia"/>
          <w:kern w:val="0"/>
          <w:sz w:val="24"/>
          <w:szCs w:val="24"/>
        </w:rPr>
      </w:pPr>
      <w:r>
        <w:rPr>
          <w:rFonts w:hint="eastAsia" w:cs="Times New Roman" w:asciiTheme="minorEastAsia" w:hAnsiTheme="minorEastAsia"/>
          <w:color w:val="auto"/>
          <w:kern w:val="0"/>
          <w:sz w:val="24"/>
          <w:szCs w:val="24"/>
          <w:lang w:val="zh-CN"/>
        </w:rPr>
        <w:t>2.</w:t>
      </w:r>
      <w:r>
        <w:rPr>
          <w:rFonts w:hint="eastAsia" w:ascii="楷体" w:hAnsi="楷体" w:eastAsia="楷体" w:cs="Times New Roman"/>
          <w:color w:val="auto"/>
          <w:sz w:val="28"/>
          <w:szCs w:val="28"/>
        </w:rPr>
        <w:t xml:space="preserve"> </w:t>
      </w:r>
      <w:r>
        <w:rPr>
          <w:rFonts w:hint="eastAsia" w:cs="Times New Roman" w:asciiTheme="minorEastAsia" w:hAnsiTheme="minorEastAsia"/>
          <w:color w:val="auto"/>
          <w:kern w:val="0"/>
          <w:sz w:val="24"/>
          <w:szCs w:val="24"/>
        </w:rPr>
        <w:t>响应时间：接到用户报修通知响应时间：</w:t>
      </w:r>
      <w:r>
        <w:rPr>
          <w:rFonts w:hint="eastAsia" w:cs="Times New Roman" w:asciiTheme="minorEastAsia" w:hAnsiTheme="minorEastAsia"/>
          <w:color w:val="auto"/>
          <w:kern w:val="0"/>
          <w:sz w:val="24"/>
          <w:szCs w:val="24"/>
          <w:u w:val="single"/>
        </w:rPr>
        <w:t xml:space="preserve">2 </w:t>
      </w:r>
      <w:r>
        <w:rPr>
          <w:rFonts w:hint="eastAsia" w:cs="Times New Roman" w:asciiTheme="minorEastAsia" w:hAnsiTheme="minorEastAsia"/>
          <w:color w:val="auto"/>
          <w:kern w:val="0"/>
          <w:sz w:val="24"/>
          <w:szCs w:val="24"/>
        </w:rPr>
        <w:t>小</w:t>
      </w:r>
      <w:r>
        <w:rPr>
          <w:rFonts w:hint="eastAsia" w:cs="Times New Roman" w:asciiTheme="minorEastAsia" w:hAnsiTheme="minorEastAsia"/>
          <w:kern w:val="0"/>
          <w:sz w:val="24"/>
          <w:szCs w:val="24"/>
        </w:rPr>
        <w:t>时以内。本地到现场时间：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color w:val="FF0000"/>
          <w:sz w:val="24"/>
          <w:szCs w:val="24"/>
        </w:rPr>
      </w:pPr>
      <w:r>
        <w:rPr>
          <w:rFonts w:hint="eastAsia" w:cs="Arial" w:asciiTheme="minorEastAsia" w:hAnsiTheme="minorEastAsia"/>
          <w:sz w:val="24"/>
          <w:szCs w:val="24"/>
        </w:rPr>
        <w:t>5.</w:t>
      </w:r>
      <w:r>
        <w:rPr>
          <w:rFonts w:hint="eastAsia" w:cs="Arial" w:asciiTheme="minorEastAsia" w:hAnsiTheme="minorEastAsia"/>
          <w:color w:val="auto"/>
          <w:sz w:val="24"/>
          <w:szCs w:val="24"/>
        </w:rPr>
        <w:t>安</w:t>
      </w:r>
      <w:r>
        <w:rPr>
          <w:rFonts w:hint="eastAsia" w:cs="Arial" w:asciiTheme="minorEastAsia" w:hAnsiTheme="minorEastAsia"/>
          <w:sz w:val="24"/>
          <w:szCs w:val="24"/>
        </w:rPr>
        <w:t>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信息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lang w:val="en-US" w:eastAsia="zh-CN"/>
        </w:rPr>
        <w:t>6</w:t>
      </w:r>
      <w:r>
        <w:rPr>
          <w:rFonts w:hint="eastAsia" w:cs="Arial" w:asciiTheme="minorEastAsia" w:hAnsiTheme="minorEastAsia"/>
          <w:sz w:val="24"/>
          <w:szCs w:val="24"/>
        </w:rPr>
        <w:t>.</w:t>
      </w:r>
      <w:r>
        <w:rPr>
          <w:rFonts w:cs="Arial" w:asciiTheme="minorEastAsia" w:hAnsiTheme="minorEastAsia"/>
          <w:sz w:val="24"/>
          <w:szCs w:val="24"/>
        </w:rPr>
        <w:t xml:space="preserve"> </w:t>
      </w:r>
      <w:r>
        <w:rPr>
          <w:rFonts w:hint="eastAsia" w:asciiTheme="minorEastAsia" w:hAnsiTheme="minorEastAsia"/>
          <w:sz w:val="24"/>
          <w:szCs w:val="24"/>
        </w:rPr>
        <w:t>包装和运输：卖方负责设备的包装和运输。包装必须坚固，能适用远距离的海运、空运及气候的变化，并能适应中国境内铁路、公路运输。</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★（三）</w:t>
      </w:r>
      <w:r>
        <w:rPr>
          <w:rFonts w:hint="eastAsia" w:ascii="宋体" w:hAnsi="宋体" w:eastAsia="宋体" w:cs="Times New Roman"/>
          <w:kern w:val="0"/>
          <w:sz w:val="24"/>
          <w:szCs w:val="24"/>
        </w:rPr>
        <w:t>专利权和保密要求</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报价方应保证使用方在使用</w:t>
      </w:r>
      <w:r>
        <w:rPr>
          <w:rFonts w:hint="eastAsia" w:ascii="宋体" w:hAnsi="宋体" w:eastAsia="宋体" w:cs="Times New Roman"/>
          <w:color w:val="auto"/>
          <w:kern w:val="0"/>
          <w:sz w:val="24"/>
          <w:szCs w:val="24"/>
          <w:lang w:val="zh-CN"/>
        </w:rPr>
        <w:t>该项目或其</w:t>
      </w:r>
      <w:r>
        <w:rPr>
          <w:rFonts w:hint="eastAsia" w:ascii="宋体" w:hAnsi="宋体" w:eastAsia="宋体" w:cs="Times New Roman"/>
          <w:kern w:val="0"/>
          <w:sz w:val="24"/>
          <w:szCs w:val="24"/>
          <w:lang w:val="zh-CN"/>
        </w:rPr>
        <w:t>任何一部分时，不受第三方侵权指控。同时，报价方保证不向第三方泄露采购机构提供的技术文件等资料。</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本项目不组织现场勘查。</w:t>
      </w:r>
    </w:p>
    <w:p>
      <w:pPr>
        <w:spacing w:line="440" w:lineRule="exact"/>
        <w:ind w:firstLine="462" w:firstLineChars="200"/>
        <w:rPr>
          <w:rFonts w:ascii="宋体" w:hAnsi="宋体" w:eastAsia="宋体" w:cs="Times New Roman"/>
          <w:kern w:val="0"/>
          <w:sz w:val="24"/>
          <w:szCs w:val="24"/>
          <w:lang w:val="zh-CN"/>
        </w:rPr>
      </w:pPr>
    </w:p>
    <w:p>
      <w:pPr>
        <w:spacing w:line="440" w:lineRule="exact"/>
        <w:ind w:firstLine="462" w:firstLineChars="200"/>
        <w:rPr>
          <w:rFonts w:ascii="宋体" w:hAnsi="宋体" w:eastAsia="宋体" w:cs="Times New Roman"/>
          <w:b/>
          <w:kern w:val="0"/>
          <w:sz w:val="24"/>
          <w:szCs w:val="24"/>
        </w:rPr>
        <w:sectPr>
          <w:headerReference r:id="rId5" w:type="default"/>
          <w:footerReference r:id="rId6" w:type="default"/>
          <w:pgSz w:w="11906" w:h="16838"/>
          <w:pgMar w:top="2098" w:right="1474" w:bottom="1985" w:left="1588" w:header="851" w:footer="851" w:gutter="0"/>
          <w:cols w:space="425" w:num="1"/>
          <w:docGrid w:type="linesAndChars" w:linePitch="579" w:charSpace="-1844"/>
        </w:sectPr>
      </w:pPr>
    </w:p>
    <w:p>
      <w:pPr>
        <w:pStyle w:val="2"/>
        <w:adjustRightInd w:val="0"/>
        <w:snapToGrid w:val="0"/>
        <w:spacing w:line="360" w:lineRule="atLeast"/>
        <w:jc w:val="center"/>
        <w:rPr>
          <w:rFonts w:ascii="黑体" w:hAnsi="黑体" w:eastAsia="黑体"/>
          <w:kern w:val="0"/>
          <w:sz w:val="32"/>
          <w:szCs w:val="32"/>
        </w:rPr>
      </w:pPr>
      <w:bookmarkStart w:id="9" w:name="_Toc390713968"/>
      <w:bookmarkStart w:id="10" w:name="_Toc41986763"/>
      <w:bookmarkStart w:id="11" w:name="_Toc240432230"/>
      <w:bookmarkStart w:id="12" w:name="_Toc285612601"/>
      <w:bookmarkStart w:id="13" w:name="_Toc435540980"/>
      <w:r>
        <w:rPr>
          <w:rFonts w:hint="eastAsia" w:ascii="黑体" w:hAnsi="黑体" w:eastAsia="黑体"/>
          <w:kern w:val="0"/>
          <w:sz w:val="32"/>
          <w:szCs w:val="32"/>
        </w:rPr>
        <w:t xml:space="preserve">第三部分  </w:t>
      </w:r>
      <w:r>
        <w:rPr>
          <w:rFonts w:hint="eastAsia" w:ascii="黑体" w:hAnsi="黑体" w:eastAsia="黑体"/>
          <w:kern w:val="0"/>
          <w:sz w:val="32"/>
          <w:szCs w:val="32"/>
          <w:lang w:val="zh-CN"/>
        </w:rPr>
        <w:t>报价方</w:t>
      </w:r>
      <w:r>
        <w:rPr>
          <w:rFonts w:hint="eastAsia" w:ascii="黑体" w:hAnsi="黑体" w:eastAsia="黑体"/>
          <w:kern w:val="0"/>
          <w:sz w:val="32"/>
          <w:szCs w:val="32"/>
        </w:rPr>
        <w:t>须知</w:t>
      </w:r>
      <w:bookmarkEnd w:id="9"/>
      <w:bookmarkEnd w:id="10"/>
      <w:bookmarkEnd w:id="11"/>
      <w:bookmarkEnd w:id="12"/>
      <w:bookmarkEnd w:id="13"/>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明</w:t>
      </w:r>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（一）概述</w:t>
      </w:r>
    </w:p>
    <w:p>
      <w:pPr>
        <w:autoSpaceDE w:val="0"/>
        <w:autoSpaceDN w:val="0"/>
        <w:spacing w:line="360" w:lineRule="atLeas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snapToGrid w:val="0"/>
          <w:kern w:val="0"/>
          <w:sz w:val="24"/>
          <w:szCs w:val="24"/>
          <w:lang w:val="zh-CN"/>
        </w:rPr>
        <w:t>本谈判文件仅适用于《采购公告》中所述采购项目的谈判采购；</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2.参与谈判的报价方，对在参与谈判过程中获悉的国家和军队商业、技术秘密以及其它依法应当保密的内容，均负有保密义务，违者应对由此造成的后果承担全部法律责任。</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（二）定义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1.“采购项目”系指本谈判文件里描述的所需采购的货物和相关服务；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2.“采购机构”系指组织本次谈判的</w:t>
      </w:r>
      <w:r>
        <w:rPr>
          <w:rFonts w:hint="eastAsia" w:ascii="宋体" w:hAnsi="宋体" w:eastAsia="宋体" w:cs="Times New Roman"/>
          <w:snapToGrid w:val="0"/>
          <w:kern w:val="0"/>
          <w:sz w:val="24"/>
          <w:szCs w:val="24"/>
          <w:u w:val="single"/>
          <w:lang w:val="zh-CN"/>
        </w:rPr>
        <w:t xml:space="preserve">  物资采购中心  </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3.“报价方”系指从采购机构按规定获取谈判文件，并提交报价文件的供应商；</w:t>
      </w:r>
    </w:p>
    <w:p>
      <w:pPr>
        <w:autoSpaceDE w:val="0"/>
        <w:autoSpaceDN w:val="0"/>
        <w:spacing w:line="440" w:lineRule="exact"/>
        <w:ind w:firstLine="462" w:firstLineChars="200"/>
        <w:rPr>
          <w:rFonts w:ascii="宋体" w:hAnsi="宋体" w:eastAsia="宋体" w:cs="Times New Roman"/>
          <w:snapToGrid w:val="0"/>
          <w:color w:val="auto"/>
          <w:kern w:val="0"/>
          <w:sz w:val="24"/>
          <w:szCs w:val="24"/>
          <w:lang w:val="zh-CN"/>
        </w:rPr>
      </w:pPr>
      <w:r>
        <w:rPr>
          <w:rFonts w:hint="eastAsia" w:ascii="宋体" w:hAnsi="宋体" w:eastAsia="宋体" w:cs="Times New Roman"/>
          <w:snapToGrid w:val="0"/>
          <w:kern w:val="0"/>
          <w:sz w:val="24"/>
          <w:szCs w:val="24"/>
          <w:lang w:val="zh-CN"/>
        </w:rPr>
        <w:t>4.“成交供应商”系</w:t>
      </w:r>
      <w:r>
        <w:rPr>
          <w:rFonts w:hint="eastAsia" w:ascii="宋体" w:hAnsi="宋体" w:eastAsia="宋体" w:cs="Times New Roman"/>
          <w:snapToGrid w:val="0"/>
          <w:color w:val="auto"/>
          <w:kern w:val="0"/>
          <w:sz w:val="24"/>
          <w:szCs w:val="24"/>
          <w:lang w:val="zh-CN"/>
        </w:rPr>
        <w:t>指经过谈判评审，确定成交的报价方；</w:t>
      </w:r>
    </w:p>
    <w:p>
      <w:pPr>
        <w:autoSpaceDE w:val="0"/>
        <w:autoSpaceDN w:val="0"/>
        <w:spacing w:line="440" w:lineRule="exact"/>
        <w:ind w:firstLine="462" w:firstLineChars="200"/>
        <w:rPr>
          <w:rFonts w:ascii="宋体" w:hAnsi="宋体" w:eastAsia="宋体" w:cs="Times New Roman"/>
          <w:snapToGrid w:val="0"/>
          <w:color w:val="auto"/>
          <w:kern w:val="0"/>
          <w:sz w:val="24"/>
          <w:szCs w:val="24"/>
          <w:lang w:val="zh-CN"/>
        </w:rPr>
      </w:pPr>
      <w:r>
        <w:rPr>
          <w:rFonts w:hint="eastAsia" w:ascii="宋体" w:hAnsi="宋体" w:eastAsia="宋体" w:cs="Times New Roman"/>
          <w:snapToGrid w:val="0"/>
          <w:color w:val="auto"/>
          <w:kern w:val="0"/>
          <w:sz w:val="24"/>
          <w:szCs w:val="24"/>
          <w:lang w:val="zh-CN"/>
        </w:rPr>
        <w:t>5.“货物”系指成交供应商按谈判文件规定，所提供的各种形态和种类的物品，包括设备、产品、备品备件、工具、手册等；</w:t>
      </w:r>
    </w:p>
    <w:p>
      <w:pPr>
        <w:autoSpaceDE w:val="0"/>
        <w:autoSpaceDN w:val="0"/>
        <w:spacing w:line="440" w:lineRule="exact"/>
        <w:ind w:firstLine="462" w:firstLineChars="200"/>
        <w:rPr>
          <w:rFonts w:ascii="宋体" w:hAnsi="宋体" w:eastAsia="宋体" w:cs="Times New Roman"/>
          <w:snapToGrid w:val="0"/>
          <w:color w:val="auto"/>
          <w:kern w:val="0"/>
          <w:sz w:val="24"/>
          <w:szCs w:val="24"/>
          <w:lang w:val="zh-CN"/>
        </w:rPr>
      </w:pPr>
      <w:r>
        <w:rPr>
          <w:rFonts w:hint="eastAsia" w:ascii="宋体" w:hAnsi="宋体" w:eastAsia="宋体" w:cs="Times New Roman"/>
          <w:snapToGrid w:val="0"/>
          <w:color w:val="auto"/>
          <w:kern w:val="0"/>
          <w:sz w:val="24"/>
          <w:szCs w:val="24"/>
          <w:lang w:val="zh-CN"/>
        </w:rPr>
        <w:t>6.“服务”系指成交供应商按谈判文件规定，必须承担的运输、安装、调试、技术协助、培训、维修、配件供应等义务。</w:t>
      </w:r>
    </w:p>
    <w:p>
      <w:pPr>
        <w:autoSpaceDE w:val="0"/>
        <w:autoSpaceDN w:val="0"/>
        <w:spacing w:line="440" w:lineRule="exact"/>
        <w:ind w:firstLine="462" w:firstLineChars="200"/>
        <w:rPr>
          <w:rFonts w:ascii="宋体" w:hAnsi="宋体" w:eastAsia="宋体" w:cs="Times New Roman"/>
          <w:snapToGrid w:val="0"/>
          <w:color w:val="auto"/>
          <w:kern w:val="0"/>
          <w:sz w:val="24"/>
          <w:szCs w:val="24"/>
          <w:lang w:val="zh-CN"/>
        </w:rPr>
      </w:pPr>
      <w:r>
        <w:rPr>
          <w:rFonts w:hint="eastAsia" w:ascii="宋体" w:hAnsi="宋体" w:eastAsia="宋体" w:cs="Times New Roman"/>
          <w:snapToGrid w:val="0"/>
          <w:color w:val="auto"/>
          <w:kern w:val="0"/>
          <w:sz w:val="24"/>
          <w:szCs w:val="24"/>
          <w:lang w:val="zh-CN"/>
        </w:rPr>
        <w:t>（三）合格的报价方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1.能够遵守国家和军队的有关法律、法规和本次谈判的有关规定；</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2.符合《采购公告》所述报价人的资格要求和特定资格条件，并有供货能力的供应商；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3.能够承担谈判报价及合同履约中应承担的全部责任与义务。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（四）合格的货物和相关服务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2.报价方提供的货物必须是全新的、未使用过的，货物和相关服务应当符合谈判文件的要求，并且其质量完全符合国家标准、军用标准或行业标准。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（五）报价委托</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如报价方代表不是法定代表人，须持有《法定代表人授权书》（</w:t>
      </w:r>
      <w:r>
        <w:rPr>
          <w:rFonts w:hint="eastAsia" w:ascii="宋体" w:hAnsi="宋体" w:eastAsia="宋体" w:cs="Times New Roman"/>
          <w:kern w:val="0"/>
          <w:sz w:val="24"/>
          <w:szCs w:val="24"/>
          <w:lang w:val="zh-CN"/>
        </w:rPr>
        <w:t>附件13</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color w:val="auto"/>
          <w:kern w:val="0"/>
          <w:sz w:val="24"/>
          <w:szCs w:val="24"/>
          <w:lang w:val="zh-CN"/>
        </w:rPr>
      </w:pPr>
      <w:r>
        <w:rPr>
          <w:rFonts w:hint="eastAsia" w:ascii="宋体" w:hAnsi="宋体" w:eastAsia="宋体" w:cs="Times New Roman"/>
          <w:kern w:val="0"/>
          <w:sz w:val="24"/>
          <w:szCs w:val="24"/>
          <w:lang w:val="zh-CN"/>
        </w:rPr>
        <w:t>1.</w:t>
      </w:r>
      <w:r>
        <w:rPr>
          <w:rFonts w:hint="eastAsia" w:cs="Times New Roman" w:asciiTheme="minorEastAsia" w:hAnsiTheme="minorEastAsia"/>
          <w:kern w:val="0"/>
          <w:sz w:val="24"/>
          <w:szCs w:val="24"/>
          <w:lang w:val="zh-CN"/>
        </w:rPr>
        <w:t xml:space="preserve"> 本项目不预付货款，待所有货物出厂验收合格并发运到位后，合同甲方凭已签章的发运接收单、发票、检验验收报</w:t>
      </w:r>
      <w:r>
        <w:rPr>
          <w:rFonts w:hint="eastAsia" w:cs="Times New Roman" w:asciiTheme="minorEastAsia" w:hAnsiTheme="minorEastAsia"/>
          <w:color w:val="auto"/>
          <w:kern w:val="0"/>
          <w:sz w:val="24"/>
          <w:szCs w:val="24"/>
          <w:lang w:val="zh-CN"/>
        </w:rPr>
        <w:t>告等办理结算，货款以银行转账方式直接支付到合同乙方账户。在结算过程中出具虚假发票和不真实文件资料的供应商，将被列入黑名单，终身不得参与医院采购活动。</w:t>
      </w:r>
    </w:p>
    <w:p>
      <w:pPr>
        <w:autoSpaceDE w:val="0"/>
        <w:autoSpaceDN w:val="0"/>
        <w:spacing w:line="440" w:lineRule="exact"/>
        <w:ind w:firstLine="462" w:firstLineChars="200"/>
        <w:rPr>
          <w:rFonts w:ascii="宋体" w:hAnsi="宋体" w:eastAsia="宋体" w:cs="Times New Roman"/>
          <w:color w:val="auto"/>
          <w:kern w:val="0"/>
          <w:sz w:val="24"/>
          <w:szCs w:val="24"/>
          <w:lang w:val="zh-CN"/>
        </w:rPr>
      </w:pPr>
      <w:r>
        <w:rPr>
          <w:rFonts w:hint="eastAsia" w:cs="Times New Roman" w:asciiTheme="minorEastAsia" w:hAnsiTheme="minorEastAsia"/>
          <w:color w:val="auto"/>
          <w:kern w:val="0"/>
          <w:sz w:val="24"/>
          <w:szCs w:val="24"/>
          <w:lang w:val="zh-CN"/>
        </w:rPr>
        <w:t>2.预留质量保证金：硬件类项目为合同总金额的</w:t>
      </w:r>
      <w:r>
        <w:rPr>
          <w:rFonts w:hint="eastAsia" w:cs="Times New Roman" w:asciiTheme="minorEastAsia" w:hAnsiTheme="minorEastAsia"/>
          <w:color w:val="auto"/>
          <w:kern w:val="0"/>
          <w:sz w:val="24"/>
          <w:szCs w:val="24"/>
          <w:u w:val="single"/>
          <w:lang w:val="zh-CN"/>
        </w:rPr>
        <w:t xml:space="preserve">  5%  </w:t>
      </w:r>
      <w:r>
        <w:rPr>
          <w:rFonts w:hint="eastAsia" w:cs="Times New Roman" w:asciiTheme="minorEastAsia" w:hAnsiTheme="minorEastAsia"/>
          <w:color w:val="auto"/>
          <w:kern w:val="0"/>
          <w:sz w:val="24"/>
          <w:szCs w:val="24"/>
          <w:lang w:val="zh-CN"/>
        </w:rPr>
        <w:t>，</w:t>
      </w:r>
      <w:r>
        <w:rPr>
          <w:rFonts w:hint="eastAsia" w:cs="Times New Roman" w:asciiTheme="minorEastAsia" w:hAnsiTheme="minorEastAsia"/>
          <w:color w:val="auto"/>
          <w:kern w:val="0"/>
          <w:sz w:val="24"/>
          <w:szCs w:val="24"/>
        </w:rPr>
        <w:t>自验收合格之日起，</w:t>
      </w:r>
      <w:r>
        <w:rPr>
          <w:rFonts w:hint="eastAsia" w:cs="Times New Roman" w:asciiTheme="minorEastAsia" w:hAnsiTheme="minorEastAsia"/>
          <w:color w:val="auto"/>
          <w:kern w:val="0"/>
          <w:sz w:val="24"/>
          <w:szCs w:val="24"/>
          <w:u w:val="single"/>
        </w:rPr>
        <w:t xml:space="preserve">十二个月 </w:t>
      </w:r>
      <w:r>
        <w:rPr>
          <w:rFonts w:hint="eastAsia" w:cs="Times New Roman" w:asciiTheme="minorEastAsia" w:hAnsiTheme="minorEastAsia"/>
          <w:color w:val="auto"/>
          <w:kern w:val="0"/>
          <w:sz w:val="24"/>
          <w:szCs w:val="24"/>
        </w:rPr>
        <w:t>正常使用且无质量问题时，一次性结清</w:t>
      </w:r>
      <w:r>
        <w:rPr>
          <w:rFonts w:hint="eastAsia" w:ascii="宋体" w:hAnsi="宋体" w:eastAsia="宋体" w:cs="Times New Roman"/>
          <w:color w:val="auto"/>
          <w:kern w:val="0"/>
          <w:sz w:val="24"/>
          <w:szCs w:val="24"/>
          <w:lang w:val="zh-CN"/>
        </w:rPr>
        <w:t>；软件服务类项目</w:t>
      </w:r>
      <w:r>
        <w:rPr>
          <w:rFonts w:hint="eastAsia" w:cs="Times New Roman" w:asciiTheme="minorEastAsia" w:hAnsiTheme="minorEastAsia"/>
          <w:color w:val="auto"/>
          <w:kern w:val="0"/>
          <w:sz w:val="24"/>
          <w:szCs w:val="24"/>
          <w:lang w:val="zh-CN"/>
        </w:rPr>
        <w:t>为合同总金额的</w:t>
      </w:r>
      <w:r>
        <w:rPr>
          <w:rFonts w:hint="eastAsia" w:cs="Times New Roman" w:asciiTheme="minorEastAsia" w:hAnsiTheme="minorEastAsia"/>
          <w:color w:val="auto"/>
          <w:kern w:val="0"/>
          <w:sz w:val="24"/>
          <w:szCs w:val="24"/>
          <w:u w:val="single"/>
          <w:lang w:val="zh-CN"/>
        </w:rPr>
        <w:t xml:space="preserve"> 5% </w:t>
      </w:r>
      <w:r>
        <w:rPr>
          <w:rFonts w:hint="eastAsia" w:cs="Times New Roman" w:asciiTheme="minorEastAsia" w:hAnsiTheme="minorEastAsia"/>
          <w:color w:val="auto"/>
          <w:kern w:val="0"/>
          <w:sz w:val="24"/>
          <w:szCs w:val="24"/>
          <w:lang w:val="zh-CN"/>
        </w:rPr>
        <w:t>质保期满后一次结清。</w:t>
      </w:r>
    </w:p>
    <w:p>
      <w:pPr>
        <w:autoSpaceDE w:val="0"/>
        <w:autoSpaceDN w:val="0"/>
        <w:spacing w:line="440" w:lineRule="exact"/>
        <w:ind w:firstLine="462" w:firstLineChars="200"/>
        <w:rPr>
          <w:rFonts w:ascii="宋体" w:hAnsi="宋体" w:eastAsia="宋体" w:cs="Times New Roman"/>
          <w:snapToGrid w:val="0"/>
          <w:color w:val="auto"/>
          <w:kern w:val="0"/>
          <w:sz w:val="24"/>
          <w:szCs w:val="24"/>
          <w:lang w:val="zh-CN"/>
        </w:rPr>
      </w:pPr>
      <w:r>
        <w:rPr>
          <w:rFonts w:hint="eastAsia" w:ascii="宋体" w:hAnsi="宋体" w:eastAsia="宋体" w:cs="Times New Roman"/>
          <w:snapToGrid w:val="0"/>
          <w:color w:val="auto"/>
          <w:kern w:val="0"/>
          <w:sz w:val="24"/>
          <w:szCs w:val="24"/>
          <w:lang w:val="zh-CN"/>
        </w:rPr>
        <w:t>（七）谈判报价费用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不论谈判报价结果如何，报价方均应自行承担与谈判报价有关的全部费用。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（八）信息发布</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本采购项目需要公开的有关信息，采购机构均</w:t>
      </w:r>
      <w:r>
        <w:rPr>
          <w:rFonts w:hint="eastAsia" w:cs="Times New Roman" w:asciiTheme="minorEastAsia" w:hAnsiTheme="minorEastAsia"/>
          <w:snapToGrid w:val="0"/>
          <w:kern w:val="0"/>
          <w:sz w:val="24"/>
          <w:szCs w:val="24"/>
          <w:lang w:val="zh-CN"/>
        </w:rPr>
        <w:t>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w:t>
      </w:r>
      <w:r>
        <w:rPr>
          <w:rFonts w:hint="eastAsia" w:ascii="宋体" w:hAnsi="宋体" w:eastAsia="宋体" w:cs="Times New Roman"/>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spacing w:line="440" w:lineRule="exact"/>
        <w:ind w:firstLine="462" w:firstLineChars="200"/>
        <w:rPr>
          <w:rFonts w:ascii="宋体" w:hAnsi="宋体" w:eastAsia="宋体" w:cs="Times New Roman"/>
          <w:kern w:val="0"/>
          <w:sz w:val="24"/>
          <w:szCs w:val="24"/>
          <w:lang w:val="zh-CN"/>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二、谈判</w:t>
      </w:r>
      <w:r>
        <w:rPr>
          <w:rFonts w:ascii="宋体" w:hAnsi="宋体" w:eastAsia="宋体" w:cs="Times New Roman"/>
          <w:kern w:val="0"/>
          <w:sz w:val="24"/>
          <w:szCs w:val="24"/>
        </w:rPr>
        <w:t>文件</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（一）谈判文件的内容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谈判文件由采购公告、采购项目技术和商务要求、报价方须知、合同样本、附件/报价文件格式等内容构成。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谈判文件以中文编写。纸质谈判文件与电子版谈判文件具有同等法律效力，两者出现不一致时，以纸质谈判文件为准。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（二）谈判文件的澄清</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报价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（三）谈判文件的修改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1.报价截止时间前，采购机构可对已发出的谈判文件进行修改。谈判文件修改内容是谈判文件的组成部分。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3.为使报价方有足够时间修改报价文件，采购机构可酌情推迟报价文件提交截止时间和谈判时间，并在报价文件提交截止时间3日前以书面形式通知报价方。</w:t>
      </w:r>
    </w:p>
    <w:p>
      <w:pPr>
        <w:spacing w:line="440" w:lineRule="exact"/>
        <w:ind w:firstLine="462" w:firstLineChars="200"/>
        <w:rPr>
          <w:rFonts w:ascii="宋体" w:hAnsi="宋体" w:eastAsia="宋体" w:cs="Times New Roman"/>
          <w:snapToGrid w:val="0"/>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报价文件编制</w:t>
      </w:r>
    </w:p>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（一）注意事项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（二）报价文件的语言及计量单位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1.报价文件和来往信函均以中文书写。确有需要时，相关内容可以使用其他语言书写，但必须同时提供中文译文，以中文译文为准。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2.报价文件中所使用的计量单位，除谈判文件中有特殊要求外，均采用国家法定计量单位。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（三）报价文件组成（包括两部分：报价书、资格证明文件）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1.报价书包括：</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(1)报价函（附件1）</w:t>
      </w:r>
    </w:p>
    <w:p>
      <w:pPr>
        <w:spacing w:line="440" w:lineRule="exact"/>
        <w:ind w:firstLine="462" w:firstLineChars="200"/>
        <w:rPr>
          <w:rFonts w:ascii="宋体" w:hAnsi="宋体" w:eastAsia="宋体" w:cs="Times New Roman"/>
          <w:snapToGrid w:val="0"/>
          <w:color w:val="auto"/>
          <w:kern w:val="0"/>
          <w:sz w:val="24"/>
          <w:szCs w:val="24"/>
        </w:rPr>
      </w:pPr>
      <w:r>
        <w:rPr>
          <w:rFonts w:hint="eastAsia" w:ascii="宋体" w:hAnsi="宋体" w:eastAsia="宋体" w:cs="Times New Roman"/>
          <w:snapToGrid w:val="0"/>
          <w:kern w:val="0"/>
          <w:sz w:val="24"/>
          <w:szCs w:val="24"/>
        </w:rPr>
        <w:t>(2)报价一览</w:t>
      </w:r>
      <w:r>
        <w:rPr>
          <w:rFonts w:hint="eastAsia" w:ascii="宋体" w:hAnsi="宋体" w:eastAsia="宋体" w:cs="Times New Roman"/>
          <w:snapToGrid w:val="0"/>
          <w:color w:val="auto"/>
          <w:kern w:val="0"/>
          <w:sz w:val="24"/>
          <w:szCs w:val="24"/>
        </w:rPr>
        <w:t>表（附件2）</w:t>
      </w:r>
    </w:p>
    <w:p>
      <w:pPr>
        <w:spacing w:line="440" w:lineRule="exact"/>
        <w:ind w:firstLine="462" w:firstLineChars="200"/>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(3)</w:t>
      </w:r>
      <w:r>
        <w:rPr>
          <w:rFonts w:hint="eastAsia" w:cs="Times New Roman" w:asciiTheme="minorEastAsia" w:hAnsiTheme="minorEastAsia"/>
          <w:snapToGrid w:val="0"/>
          <w:color w:val="auto"/>
          <w:kern w:val="0"/>
          <w:sz w:val="24"/>
          <w:szCs w:val="24"/>
        </w:rPr>
        <w:t>分项报价表</w:t>
      </w:r>
      <w:r>
        <w:rPr>
          <w:rFonts w:hint="eastAsia" w:ascii="宋体" w:hAnsi="宋体" w:eastAsia="宋体" w:cs="Times New Roman"/>
          <w:color w:val="auto"/>
          <w:kern w:val="0"/>
          <w:sz w:val="24"/>
          <w:szCs w:val="24"/>
        </w:rPr>
        <w:t>（附件3）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color w:val="auto"/>
          <w:kern w:val="0"/>
          <w:sz w:val="24"/>
          <w:szCs w:val="24"/>
        </w:rPr>
        <w:t>(4)</w:t>
      </w:r>
      <w:r>
        <w:rPr>
          <w:rFonts w:hint="eastAsia" w:ascii="宋体" w:hAnsi="宋体" w:eastAsia="宋体" w:cs="Times New Roman"/>
          <w:snapToGrid w:val="0"/>
          <w:color w:val="auto"/>
          <w:kern w:val="0"/>
          <w:sz w:val="24"/>
          <w:szCs w:val="24"/>
        </w:rPr>
        <w:t>货物简要说明一</w:t>
      </w:r>
      <w:r>
        <w:rPr>
          <w:rFonts w:hint="eastAsia" w:ascii="宋体" w:hAnsi="宋体" w:eastAsia="宋体" w:cs="Times New Roman"/>
          <w:snapToGrid w:val="0"/>
          <w:kern w:val="0"/>
          <w:sz w:val="24"/>
          <w:szCs w:val="24"/>
        </w:rPr>
        <w:t>览表（附件4）</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(5)主要技术性能参数表（附件5）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(6)技术指标参数响应偏离表（附件6）</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(7)主要商务条款响应偏离表（附件7）</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(8)交货清单（附件8）</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w:t>
      </w:r>
      <w:r>
        <w:rPr>
          <w:rFonts w:hint="eastAsia" w:cs="Times New Roman" w:asciiTheme="minorEastAsia" w:hAnsiTheme="minorEastAsia"/>
          <w:kern w:val="0"/>
          <w:sz w:val="24"/>
          <w:szCs w:val="24"/>
        </w:rPr>
        <w:t>报价方售后服务承诺</w:t>
      </w:r>
      <w:r>
        <w:rPr>
          <w:rFonts w:hint="eastAsia" w:ascii="宋体" w:hAnsi="宋体" w:eastAsia="宋体" w:cs="Times New Roman"/>
          <w:kern w:val="0"/>
          <w:sz w:val="24"/>
          <w:szCs w:val="24"/>
        </w:rPr>
        <w:t>（附件9）</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w:t>
      </w:r>
      <w:r>
        <w:rPr>
          <w:rFonts w:hint="eastAsia" w:cs="Times New Roman" w:asciiTheme="minorEastAsia" w:hAnsiTheme="minorEastAsia"/>
          <w:snapToGrid w:val="0"/>
          <w:kern w:val="0"/>
          <w:sz w:val="24"/>
          <w:szCs w:val="24"/>
          <w:lang w:val="zh-CN"/>
        </w:rPr>
        <w:t>生产厂家售后服务承诺（进口设备由总代提供，附件10</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w:t>
      </w:r>
      <w:r>
        <w:rPr>
          <w:rFonts w:hint="eastAsia" w:cs="Times New Roman" w:asciiTheme="minorEastAsia" w:hAnsiTheme="minorEastAsia"/>
          <w:snapToGrid w:val="0"/>
          <w:kern w:val="0"/>
          <w:sz w:val="24"/>
          <w:szCs w:val="24"/>
          <w:lang w:val="zh-CN"/>
        </w:rPr>
        <w:t>近3年成交案例及同类项目案例</w:t>
      </w:r>
      <w:r>
        <w:rPr>
          <w:rFonts w:hint="eastAsia" w:ascii="宋体" w:hAnsi="宋体" w:eastAsia="宋体" w:cs="Times New Roman"/>
          <w:kern w:val="0"/>
          <w:sz w:val="24"/>
          <w:szCs w:val="24"/>
        </w:rPr>
        <w:t>（附件11）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snapToGrid w:val="0"/>
          <w:kern w:val="0"/>
          <w:sz w:val="24"/>
          <w:szCs w:val="24"/>
          <w:lang w:val="zh-CN"/>
        </w:rPr>
        <w:t>(12)</w:t>
      </w:r>
      <w:r>
        <w:rPr>
          <w:rFonts w:hint="eastAsia" w:cs="Times New Roman" w:asciiTheme="minorEastAsia" w:hAnsiTheme="minorEastAsia"/>
          <w:kern w:val="0"/>
          <w:sz w:val="24"/>
          <w:szCs w:val="24"/>
        </w:rPr>
        <w:t>产品相关检测报告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w:t>
      </w:r>
      <w:r>
        <w:rPr>
          <w:rFonts w:hint="eastAsia" w:cs="Times New Roman" w:asciiTheme="minorEastAsia" w:hAnsiTheme="minorEastAsia"/>
          <w:kern w:val="0"/>
          <w:sz w:val="24"/>
          <w:szCs w:val="24"/>
        </w:rPr>
        <w:t>报价方认为需要加以说明的其他内容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(14)报价方</w:t>
      </w:r>
      <w:r>
        <w:rPr>
          <w:rFonts w:hint="eastAsia" w:cs="Times New Roman" w:asciiTheme="minorEastAsia" w:hAnsiTheme="minorEastAsia"/>
          <w:kern w:val="0"/>
          <w:sz w:val="24"/>
          <w:szCs w:val="24"/>
        </w:rPr>
        <w:t>可以选择性提供其他材料，包括但不限于质量管理制度、质量检测机构、质量检测设备（提供设备清单和图片），以及第三方质量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(3)法定代表人授权书（含被授权人身份证复印件）（原件，如法定代表人未到现场需提供，附件13）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(5)保密承诺书（附件15）</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(9)良好的商业信誉和健全的财务会计制度证明材料：会计师事务所出具的近3年（不足3年以成立日期起算）审计报告主要内容，至少包含资产负债表、利润表、现金流量表或公司近3年财务报表，至少应包括资产负债表、利润表及现金流量表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(10)相关声明书（包含但不限于以下内容）：①非外资企业或外资控股企业的书面声明；②参加本次采购活动前3年内在经营活动中没有重大违法记录的书面声明。（附件19）</w:t>
      </w:r>
    </w:p>
    <w:p>
      <w:pPr>
        <w:adjustRightInd w:val="0"/>
        <w:snapToGrid w:val="0"/>
        <w:spacing w:line="440" w:lineRule="exact"/>
        <w:ind w:firstLine="455" w:firstLineChars="197"/>
        <w:rPr>
          <w:rFonts w:cs="Times New Roman" w:asciiTheme="minorEastAsia" w:hAnsiTheme="minorEastAsia"/>
          <w:kern w:val="0"/>
          <w:sz w:val="24"/>
          <w:szCs w:val="24"/>
        </w:rPr>
      </w:pPr>
      <w:r>
        <w:rPr>
          <w:rFonts w:hint="eastAsia" w:cs="Times New Roman" w:asciiTheme="minorEastAsia" w:hAnsiTheme="minorEastAsia"/>
          <w:kern w:val="0"/>
          <w:sz w:val="24"/>
          <w:szCs w:val="24"/>
        </w:rPr>
        <w:t>(11)报价方认为需要加以说明的其他内容</w:t>
      </w:r>
    </w:p>
    <w:p>
      <w:pPr>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w:t>
      </w:r>
      <w:r>
        <w:rPr>
          <w:rFonts w:hint="eastAsia"/>
        </w:rPr>
        <w:t xml:space="preserve"> </w:t>
      </w:r>
      <w:r>
        <w:rPr>
          <w:rFonts w:hint="eastAsia" w:cs="Times New Roman" w:asciiTheme="minorEastAsia" w:hAnsiTheme="minorEastAsia"/>
          <w:kern w:val="0"/>
          <w:sz w:val="24"/>
          <w:szCs w:val="24"/>
        </w:rPr>
        <w:t>报价方可以选择性提供其他资格证明文件，包括但不限于质量管理体系认证证书、环境管理体系认证证书、职业健康管理体系认证证书、3C认证等相关行业资质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报价方必须按上述统一格式及顺序向采购机构提供《报价书》和《资格证明文件》，否则可能被视为无效报价。</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（四）报价文件的格式规定和签署</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2.</w:t>
      </w:r>
      <w:r>
        <w:rPr>
          <w:rFonts w:hint="eastAsia" w:ascii="宋体" w:hAnsi="宋体" w:eastAsia="宋体" w:cs="Times New Roman"/>
          <w:kern w:val="0"/>
          <w:sz w:val="24"/>
          <w:szCs w:val="24"/>
        </w:rPr>
        <w:t>报价方应当按照谈判文件规定的统一格式填写报价文件，报价文件开始部分应当有目录，以及方便评审委员会评审使用的项目索引。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3.报价方名称应当填写全称，同时加盖公章</w:t>
      </w:r>
      <w:r>
        <w:rPr>
          <w:rFonts w:hint="eastAsia" w:ascii="宋体" w:hAnsi="宋体" w:eastAsia="宋体" w:cs="Times New Roman"/>
          <w:snapToGrid w:val="0"/>
          <w:kern w:val="0"/>
          <w:sz w:val="24"/>
          <w:szCs w:val="24"/>
        </w:rPr>
        <w:t>，</w:t>
      </w:r>
      <w:r>
        <w:rPr>
          <w:rFonts w:hint="eastAsia" w:ascii="宋体" w:hAnsi="宋体" w:eastAsia="宋体" w:cs="Times New Roman"/>
          <w:kern w:val="0"/>
          <w:sz w:val="24"/>
          <w:szCs w:val="24"/>
          <w:lang w:val="zh-CN"/>
        </w:rPr>
        <w:t>公章与</w:t>
      </w:r>
      <w:r>
        <w:rPr>
          <w:rFonts w:hint="eastAsia" w:ascii="宋体" w:hAnsi="宋体" w:eastAsia="宋体" w:cs="Times New Roman"/>
          <w:snapToGrid w:val="0"/>
          <w:kern w:val="0"/>
          <w:sz w:val="24"/>
          <w:szCs w:val="24"/>
        </w:rPr>
        <w:t>全称</w:t>
      </w:r>
      <w:r>
        <w:rPr>
          <w:rFonts w:hint="eastAsia" w:ascii="宋体" w:hAnsi="宋体" w:eastAsia="宋体" w:cs="Times New Roman"/>
          <w:kern w:val="0"/>
          <w:sz w:val="24"/>
          <w:szCs w:val="24"/>
          <w:lang w:val="zh-CN"/>
        </w:rPr>
        <w:t>相符</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4.报价书、资格证明文件须单独封装。报价书一式</w:t>
      </w:r>
      <w:r>
        <w:rPr>
          <w:rFonts w:hint="eastAsia" w:ascii="宋体" w:hAnsi="宋体" w:eastAsia="宋体" w:cs="Times New Roman"/>
          <w:kern w:val="0"/>
          <w:sz w:val="24"/>
          <w:szCs w:val="24"/>
          <w:u w:val="single"/>
        </w:rPr>
        <w:t xml:space="preserve"> 7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6 </w:t>
      </w:r>
      <w:r>
        <w:rPr>
          <w:rFonts w:hint="eastAsia" w:ascii="宋体" w:hAnsi="宋体" w:eastAsia="宋体" w:cs="Times New Roman"/>
          <w:kern w:val="0"/>
          <w:sz w:val="24"/>
          <w:szCs w:val="24"/>
        </w:rPr>
        <w:t>份；资格证明文件一式</w:t>
      </w:r>
      <w:r>
        <w:rPr>
          <w:rFonts w:hint="eastAsia" w:ascii="宋体" w:hAnsi="宋体" w:eastAsia="宋体" w:cs="Times New Roman"/>
          <w:kern w:val="0"/>
          <w:sz w:val="24"/>
          <w:szCs w:val="24"/>
          <w:u w:val="single"/>
        </w:rPr>
        <w:t xml:space="preserve"> 3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2 </w:t>
      </w:r>
      <w:r>
        <w:rPr>
          <w:rFonts w:hint="eastAsia" w:ascii="宋体" w:hAnsi="宋体" w:eastAsia="宋体" w:cs="Times New Roman"/>
          <w:kern w:val="0"/>
          <w:sz w:val="24"/>
          <w:szCs w:val="24"/>
        </w:rPr>
        <w:t>份。在每一份文件上要注明“报价书”、“资格证明文件”、“正本”或“副本”字样。</w:t>
      </w:r>
      <w:r>
        <w:rPr>
          <w:rFonts w:hint="eastAsia" w:cs="Times New Roman" w:asciiTheme="minorEastAsia" w:hAnsiTheme="minorEastAsia"/>
          <w:kern w:val="0"/>
          <w:sz w:val="24"/>
          <w:szCs w:val="24"/>
        </w:rPr>
        <w:t>如果正本与副本不符，以正本为准。</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5.报价文件必须打印或用黑色、蓝黑色墨水填写。</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6.报价文件必须由法定代表人或授权代表签署。</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7.报价文件不得随意涂改和增删。如有修改错漏之处，必须由法定代表人或授权代表签字、盖章。法定代表人签字或签章均视为有效。</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8.报价文件</w:t>
      </w:r>
      <w:r>
        <w:rPr>
          <w:rFonts w:hint="eastAsia" w:ascii="宋体" w:hAnsi="宋体" w:eastAsia="宋体" w:cs="Times New Roman"/>
          <w:kern w:val="0"/>
          <w:sz w:val="24"/>
          <w:szCs w:val="24"/>
          <w:lang w:val="zh-CN"/>
        </w:rPr>
        <w:t>因字迹潦草或表述不清以及复印件不清所引起的后果由报价方自行负责</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（五）</w:t>
      </w:r>
      <w:r>
        <w:rPr>
          <w:rFonts w:hint="eastAsia" w:ascii="宋体" w:hAnsi="宋体" w:eastAsia="宋体" w:cs="Times New Roman"/>
          <w:snapToGrid w:val="0"/>
          <w:kern w:val="0"/>
          <w:sz w:val="24"/>
          <w:szCs w:val="24"/>
        </w:rPr>
        <w:t>报价文件有效期</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报价文件自提交截止之日起</w:t>
      </w:r>
      <w:r>
        <w:rPr>
          <w:rFonts w:hint="eastAsia" w:ascii="宋体" w:hAnsi="宋体" w:eastAsia="宋体" w:cs="宋体"/>
          <w:snapToGrid w:val="0"/>
          <w:kern w:val="0"/>
          <w:sz w:val="24"/>
          <w:szCs w:val="24"/>
          <w:lang w:val="zh-CN"/>
        </w:rPr>
        <w:t>180</w:t>
      </w:r>
      <w:r>
        <w:rPr>
          <w:rFonts w:hint="eastAsia" w:ascii="宋体" w:hAnsi="宋体" w:eastAsia="宋体" w:cs="Times New Roman"/>
          <w:kern w:val="0"/>
          <w:sz w:val="24"/>
          <w:szCs w:val="24"/>
          <w:lang w:val="zh-CN"/>
        </w:rPr>
        <w:t>日内保持有效。</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3.在采购过程中</w:t>
      </w:r>
      <w:r>
        <w:rPr>
          <w:rFonts w:hint="eastAsia" w:ascii="宋体" w:hAnsi="宋体" w:eastAsia="宋体" w:cs="Times New Roman"/>
          <w:kern w:val="0"/>
          <w:sz w:val="24"/>
          <w:szCs w:val="24"/>
        </w:rPr>
        <w:t>，报价方发生合并、分立、破产等重大变化时，应当及时书面告知采购机构。</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（六）谈判</w:t>
      </w:r>
      <w:r>
        <w:rPr>
          <w:rFonts w:hint="eastAsia" w:ascii="宋体" w:hAnsi="宋体" w:eastAsia="宋体" w:cs="Times New Roman"/>
          <w:snapToGrid w:val="0"/>
          <w:kern w:val="0"/>
          <w:sz w:val="24"/>
          <w:szCs w:val="24"/>
        </w:rPr>
        <w:t>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所有报价均以人民币为货币单位</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所有单价和总价按照报价一览表和合同格式要求填报。</w:t>
      </w:r>
      <w:r>
        <w:rPr>
          <w:rFonts w:hint="eastAsia" w:ascii="宋体" w:hAnsi="宋体" w:eastAsia="宋体" w:cs="宋体"/>
          <w:snapToGrid w:val="0"/>
          <w:kern w:val="0"/>
          <w:sz w:val="24"/>
          <w:szCs w:val="24"/>
          <w:lang w:val="zh-CN"/>
        </w:rPr>
        <w:t>报价应包括货款、标准附件、备品备件、专用工具、包装、安装、调试、培训、保修等费用和税金。</w:t>
      </w:r>
    </w:p>
    <w:p>
      <w:pPr>
        <w:tabs>
          <w:tab w:val="left" w:pos="-1418"/>
        </w:tabs>
        <w:autoSpaceDE w:val="0"/>
        <w:autoSpaceDN w:val="0"/>
        <w:spacing w:line="440" w:lineRule="exact"/>
        <w:ind w:firstLine="462" w:firstLineChars="200"/>
        <w:rPr>
          <w:rFonts w:ascii="宋体" w:hAnsi="宋体" w:eastAsia="宋体" w:cs="Times New Roman"/>
          <w:color w:val="auto"/>
          <w:kern w:val="0"/>
          <w:sz w:val="24"/>
          <w:szCs w:val="24"/>
          <w:lang w:val="zh-CN"/>
        </w:rPr>
      </w:pPr>
      <w:r>
        <w:rPr>
          <w:rFonts w:hint="eastAsia" w:ascii="宋体" w:hAnsi="宋体" w:eastAsia="宋体" w:cs="宋体"/>
          <w:snapToGrid w:val="0"/>
          <w:kern w:val="0"/>
          <w:sz w:val="24"/>
          <w:szCs w:val="24"/>
          <w:lang w:val="zh-CN"/>
        </w:rPr>
        <w:t>3.</w:t>
      </w:r>
      <w:r>
        <w:rPr>
          <w:rFonts w:hint="eastAsia" w:ascii="宋体" w:hAnsi="宋体" w:eastAsia="宋体" w:cs="Times New Roman"/>
          <w:kern w:val="0"/>
          <w:sz w:val="24"/>
          <w:szCs w:val="24"/>
          <w:lang w:val="zh-CN"/>
        </w:rPr>
        <w:t>报价文件的大写金额与小写金额不一致的，以大写金额为准，</w:t>
      </w:r>
      <w:r>
        <w:rPr>
          <w:rFonts w:hint="eastAsia" w:cs="Times New Roman" w:asciiTheme="minorEastAsia" w:hAnsiTheme="minorEastAsia"/>
          <w:kern w:val="0"/>
          <w:sz w:val="24"/>
          <w:szCs w:val="24"/>
          <w:lang w:val="zh-CN"/>
        </w:rPr>
        <w:t>但大写金额出现文字错误，导致金额无法判断的除外；总价金额与按单价汇总金额不一致的，以各项单价金额计算结果为准，但是</w:t>
      </w:r>
      <w:r>
        <w:rPr>
          <w:rFonts w:hint="eastAsia" w:cs="Times New Roman" w:asciiTheme="minorEastAsia" w:hAnsiTheme="minorEastAsia"/>
          <w:color w:val="auto"/>
          <w:kern w:val="0"/>
          <w:sz w:val="24"/>
          <w:szCs w:val="24"/>
          <w:lang w:val="zh-CN"/>
        </w:rPr>
        <w:t>单价金额出现计算错误、明显人为工作失误的除外；单价金额小数点有明显错位的，以总价为准，并修改单价。不同语言文本报价文件的解释发生异议的，以中文文本为准</w:t>
      </w:r>
      <w:r>
        <w:rPr>
          <w:rFonts w:hint="eastAsia" w:ascii="宋体" w:hAnsi="宋体" w:eastAsia="宋体" w:cs="Times New Roman"/>
          <w:color w:val="auto"/>
          <w:kern w:val="0"/>
          <w:sz w:val="24"/>
          <w:szCs w:val="24"/>
          <w:lang w:val="zh-CN"/>
        </w:rPr>
        <w:t>。报价方不同意以上修正，其报价将被拒绝。</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color w:val="auto"/>
          <w:kern w:val="0"/>
          <w:sz w:val="24"/>
          <w:szCs w:val="24"/>
          <w:lang w:val="zh-CN"/>
        </w:rPr>
        <w:t>4.报价方</w:t>
      </w:r>
      <w:r>
        <w:rPr>
          <w:rFonts w:hint="eastAsia" w:ascii="宋体" w:hAnsi="宋体" w:eastAsia="宋体" w:cs="Times New Roman"/>
          <w:color w:val="auto"/>
          <w:kern w:val="0"/>
          <w:sz w:val="24"/>
          <w:szCs w:val="24"/>
        </w:rPr>
        <w:t>对同一种货物每次报价</w:t>
      </w:r>
      <w:r>
        <w:rPr>
          <w:rFonts w:hint="eastAsia" w:ascii="宋体" w:hAnsi="宋体" w:eastAsia="宋体" w:cs="Times New Roman"/>
          <w:kern w:val="0"/>
          <w:sz w:val="24"/>
          <w:szCs w:val="24"/>
        </w:rPr>
        <w:t>只允许有一种报价，采购机构不接受任何有选择的报价。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四、</w:t>
      </w:r>
      <w:r>
        <w:rPr>
          <w:rFonts w:ascii="宋体" w:hAnsi="宋体" w:eastAsia="宋体" w:cs="Times New Roman"/>
          <w:kern w:val="0"/>
          <w:sz w:val="24"/>
          <w:szCs w:val="24"/>
        </w:rPr>
        <w:t>报价文件</w:t>
      </w:r>
      <w:r>
        <w:rPr>
          <w:rFonts w:hint="eastAsia" w:ascii="宋体" w:hAnsi="宋体" w:eastAsia="宋体" w:cs="Times New Roman"/>
          <w:kern w:val="0"/>
          <w:sz w:val="24"/>
          <w:szCs w:val="24"/>
        </w:rPr>
        <w:t>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（一）报价文件密封及标记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bCs/>
          <w:kern w:val="0"/>
          <w:sz w:val="24"/>
          <w:szCs w:val="24"/>
        </w:rPr>
        <w:t>1.报价方应当将报价</w:t>
      </w:r>
      <w:r>
        <w:rPr>
          <w:rFonts w:hint="eastAsia" w:ascii="宋体" w:hAnsi="宋体" w:eastAsia="宋体" w:cs="Times New Roman"/>
          <w:kern w:val="0"/>
          <w:sz w:val="24"/>
          <w:szCs w:val="24"/>
          <w:lang w:val="zh-CN"/>
        </w:rPr>
        <w:t>文件的正本和副本统一装入密封袋内，封口处应当有报价方单位公章，封面</w:t>
      </w:r>
      <w:r>
        <w:rPr>
          <w:rFonts w:hint="eastAsia" w:ascii="宋体" w:hAnsi="宋体" w:eastAsia="宋体" w:cs="Times New Roman"/>
          <w:kern w:val="0"/>
          <w:sz w:val="24"/>
          <w:szCs w:val="24"/>
        </w:rPr>
        <w:t>上注明“报价文件、谈判项目名称、项目编号、包号、</w:t>
      </w:r>
      <w:r>
        <w:rPr>
          <w:rFonts w:hint="eastAsia" w:ascii="宋体" w:hAnsi="宋体" w:eastAsia="宋体" w:cs="Times New Roman"/>
          <w:kern w:val="0"/>
          <w:sz w:val="24"/>
          <w:szCs w:val="24"/>
          <w:lang w:val="zh-CN"/>
        </w:rPr>
        <w:t>报价方</w:t>
      </w:r>
      <w:r>
        <w:rPr>
          <w:rFonts w:hint="eastAsia" w:ascii="宋体" w:hAnsi="宋体" w:eastAsia="宋体" w:cs="Times New Roman"/>
          <w:kern w:val="0"/>
          <w:sz w:val="24"/>
          <w:szCs w:val="24"/>
        </w:rPr>
        <w:t>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2.报价方应当在谈判文件明确的提交报价文件截止时间前，由谈判全权代表将报价文件送达采购机构指定地点。逾期提交的报价文件，采购机构将拒收。</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3.电报、电话、电传、邮寄等形式的报价文件概不接受。</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4.报价文件未按要求密封、标记的，采购机构将拒绝接收。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lang w:val="zh-CN"/>
        </w:rPr>
        <w:t>（二）</w:t>
      </w:r>
      <w:r>
        <w:rPr>
          <w:rFonts w:hint="eastAsia" w:ascii="宋体" w:hAnsi="宋体" w:eastAsia="宋体" w:cs="Times New Roman"/>
          <w:snapToGrid w:val="0"/>
          <w:kern w:val="0"/>
          <w:sz w:val="24"/>
          <w:szCs w:val="24"/>
        </w:rPr>
        <w:t>报价文件的修改和撤回</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2.报价方修改补充报价文件的书面材料，须密封送达采购机构指定地点，并在封面上注明“报价修改文件、项目名称、项目编号、报价方名称”和“谈判时启封”字样。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4.谈判开始后，报价方不得撤回报价文件。</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五、谈判报价与评审</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（一）评审委员会</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采购机构根据规定组建评审委员会。其成员由经济、技术等方面的专家和采购机构代表组成，其中技术、经济类专家不少于三分之二。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本次谈判采取2轮谈判3次报价的方式。确需增加谈判报价轮次的，在谈判过程中经评审委员会（五分之四以上评委）认定可以增加，但应当在评审报告中注明理由。</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（三）评审要求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(1)严格遵守公平、公正、择优的原则；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 xml:space="preserve"> </w:t>
      </w:r>
      <w:r>
        <w:rPr>
          <w:rFonts w:hint="eastAsia" w:ascii="宋体" w:hAnsi="宋体" w:eastAsia="宋体" w:cs="宋体"/>
          <w:snapToGrid w:val="0"/>
          <w:kern w:val="0"/>
          <w:sz w:val="24"/>
          <w:szCs w:val="24"/>
          <w:lang w:val="zh-CN"/>
        </w:rPr>
        <w:t>综合货物性能、质量、价格、交货期、售后服务等因素，确定评审结果；</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（四）评审方法</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kern w:val="0"/>
          <w:sz w:val="24"/>
          <w:szCs w:val="24"/>
        </w:rPr>
        <w:t>(1)</w:t>
      </w:r>
      <w:r>
        <w:rPr>
          <w:rFonts w:hint="eastAsia" w:ascii="宋体" w:eastAsia="宋体" w:cs="宋体"/>
          <w:kern w:val="0"/>
          <w:sz w:val="24"/>
          <w:szCs w:val="24"/>
        </w:rPr>
        <w:t>在保证采购项目质量和双方商定合理价格的基础上进行采购。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(2)报价方报价高于采购预算的，不得推荐为预成交供应商（经采购管理部门批准同意的除外）。</w:t>
      </w:r>
    </w:p>
    <w:p>
      <w:pPr>
        <w:spacing w:line="440" w:lineRule="exact"/>
        <w:rPr>
          <w:rFonts w:ascii="宋体" w:hAnsi="宋体" w:eastAsia="宋体" w:cs="Times New Roman"/>
          <w:kern w:val="0"/>
          <w:sz w:val="24"/>
          <w:szCs w:val="24"/>
        </w:rPr>
      </w:pPr>
      <w:r>
        <w:rPr>
          <w:rFonts w:ascii="宋体" w:hAnsi="宋体" w:eastAsia="宋体" w:cs="Times New Roman"/>
          <w:color w:val="3366FF"/>
          <w:kern w:val="0"/>
          <w:sz w:val="24"/>
          <w:szCs w:val="24"/>
        </w:rPr>
        <w:br w:type="page"/>
      </w:r>
      <w:r>
        <w:rPr>
          <w:rFonts w:hint="eastAsia" w:ascii="宋体" w:hAnsi="宋体" w:eastAsia="宋体" w:cs="Times New Roman"/>
          <w:kern w:val="0"/>
          <w:sz w:val="24"/>
          <w:szCs w:val="24"/>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spacing w:line="440" w:lineRule="exact"/>
        <w:rPr>
          <w:rFonts w:ascii="宋体" w:hAnsi="宋体" w:eastAsia="宋体" w:cs="Times New Roman"/>
          <w:kern w:val="0"/>
          <w:sz w:val="24"/>
          <w:szCs w:val="24"/>
        </w:rPr>
      </w:pPr>
      <w:r>
        <w:rPr>
          <w:rFonts w:ascii="宋体" w:hAnsi="宋体" w:eastAsia="宋体" w:cs="Times New Roman"/>
          <w:kern w:val="0"/>
          <w:sz w:val="24"/>
          <w:szCs w:val="24"/>
        </w:rPr>
        <w:t>项目名称：                   项目编号：                            包号：</w:t>
      </w:r>
    </w:p>
    <w:tbl>
      <w:tblPr>
        <w:tblStyle w:val="18"/>
        <w:tblW w:w="5248" w:type="pct"/>
        <w:jc w:val="center"/>
        <w:tblLayout w:type="fixed"/>
        <w:tblCellMar>
          <w:top w:w="0" w:type="dxa"/>
          <w:left w:w="108" w:type="dxa"/>
          <w:bottom w:w="0" w:type="dxa"/>
          <w:right w:w="108" w:type="dxa"/>
        </w:tblCellMar>
      </w:tblPr>
      <w:tblGrid>
        <w:gridCol w:w="9509"/>
      </w:tblGrid>
      <w:tr>
        <w:tblPrEx>
          <w:tblCellMar>
            <w:top w:w="0" w:type="dxa"/>
            <w:left w:w="108" w:type="dxa"/>
            <w:bottom w:w="0" w:type="dxa"/>
            <w:right w:w="108" w:type="dxa"/>
          </w:tblCellMar>
        </w:tblPrEx>
        <w:trPr>
          <w:trHeight w:val="454" w:hRule="exact"/>
          <w:jc w:val="center"/>
        </w:trPr>
        <w:tc>
          <w:tcPr>
            <w:tcW w:w="9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2.法定代表人资格证明书和授权书（含法定代表人身份证复印件）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3.主要股东或出资人信息（含被授权人身份证复印件）</w:t>
            </w:r>
          </w:p>
        </w:tc>
      </w:tr>
      <w:tr>
        <w:tblPrEx>
          <w:tblCellMar>
            <w:top w:w="0" w:type="dxa"/>
            <w:left w:w="108" w:type="dxa"/>
            <w:bottom w:w="0" w:type="dxa"/>
            <w:right w:w="108" w:type="dxa"/>
          </w:tblCellMar>
        </w:tblPrEx>
        <w:trPr>
          <w:trHeight w:val="655"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4.最近连续6个月缴纳社会保障金的银行转账汇款单或相应证明材料（依法不需要缴纳社会保障资金的报价方，应提供相应文件证明其不需要缴纳社会保障资金）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5.最近连续6个月纳税的银行转账汇款单或相应证明材料（依法免税的报价方，应提供相应文件证明其依法免税）</w:t>
            </w:r>
          </w:p>
        </w:tc>
      </w:tr>
      <w:tr>
        <w:tblPrEx>
          <w:tblCellMar>
            <w:top w:w="0" w:type="dxa"/>
            <w:left w:w="108" w:type="dxa"/>
            <w:bottom w:w="0" w:type="dxa"/>
            <w:right w:w="108" w:type="dxa"/>
          </w:tblCellMar>
        </w:tblPrEx>
        <w:trPr>
          <w:trHeight w:val="98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6.健全的财务会计制度证明材料：会计师事务所出具的近3年（不足3年以成立日期起算）审计报告主要内容或公司近3年财务报表，至少应包括资产负债表、利润表及现金流量表</w:t>
            </w:r>
          </w:p>
        </w:tc>
      </w:tr>
      <w:tr>
        <w:tblPrEx>
          <w:tblCellMar>
            <w:top w:w="0" w:type="dxa"/>
            <w:left w:w="108" w:type="dxa"/>
            <w:bottom w:w="0" w:type="dxa"/>
            <w:right w:w="108" w:type="dxa"/>
          </w:tblCellMar>
        </w:tblPrEx>
        <w:trPr>
          <w:trHeight w:val="67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kern w:val="0"/>
                <w:szCs w:val="21"/>
              </w:rPr>
            </w:pPr>
            <w:r>
              <w:rPr>
                <w:rFonts w:hint="eastAsia" w:ascii="宋体" w:hAnsi="宋体" w:eastAsia="宋体" w:cs="宋体"/>
                <w:kern w:val="0"/>
                <w:szCs w:val="21"/>
              </w:rPr>
              <w:t>7.</w:t>
            </w:r>
            <w:r>
              <w:rPr>
                <w:rFonts w:hint="eastAsia"/>
              </w:rPr>
              <w:t xml:space="preserve"> 相关声明书：</w:t>
            </w:r>
            <w:r>
              <w:rPr>
                <w:rFonts w:hint="eastAsia" w:ascii="宋体" w:hAnsi="宋体" w:eastAsia="宋体" w:cs="宋体"/>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8.保密承诺书及廉洁诚信承诺书</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1.报价书、资格证明文件密封完好</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2.报价文件签署、盖章齐全完整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3.报价文件组成齐全完整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4.报价文件有效期满足谈判文件要求</w:t>
            </w:r>
          </w:p>
        </w:tc>
      </w:tr>
      <w:tr>
        <w:tblPrEx>
          <w:tblCellMar>
            <w:top w:w="0" w:type="dxa"/>
            <w:left w:w="108" w:type="dxa"/>
            <w:bottom w:w="0" w:type="dxa"/>
            <w:right w:w="108" w:type="dxa"/>
          </w:tblCellMar>
        </w:tblPrEx>
        <w:trPr>
          <w:trHeight w:val="504" w:hRule="exact"/>
          <w:jc w:val="center"/>
        </w:trPr>
        <w:tc>
          <w:tcPr>
            <w:tcW w:w="9509"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44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说明：以上资格性和符合性要求均需满足，若有一条不满足，则为无效报价。</w:t>
            </w:r>
          </w:p>
        </w:tc>
      </w:tr>
    </w:tbl>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供应商的资格条件要求、供应商应当提供的资格证明材料、采购项目技术和商务要求、谈判程序、评审方法、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报价方是否有资格进入谈判程序。资格性和符合性审查不合格的报价方，不再参加后续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评审委员会对报价文件密封、签署、盖章等进行审查过程中，有下列情形，但其他方面符合要求，应当评定为不影响整个报价文件有效性和采购活动公平竞争，并通过报价文件的符合性审查：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(1)密封时未加盖、少加盖公章或者密封章，但是密封完好、完整标明了报价方名称且得到报价方（法定代表人或者授权代表）现场认可的；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(3)存在个别地方（总数不超过2个且占应签字地方的比例不超过20%）没有法定代表人签字，但有法定代表人的私人印章或者授权代表有效签字的；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4.第一轮谈判。评审委员会所有成员集中与报价方进行谈判，报价方派代表参加（法定代表人或授权代表及技术人员必须参加）。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谈判文件能够详细列明采购项目技术、商务要求的，评审委员会应当要求参加谈判的供应商在规定时间内提交最后报价， 谈判文件不能够详细列明采购项目技术、商务要求的，由评审委员会与报价方现场协商确定，并写入澄清表。</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10.复核评审情况。评审结束后，评审委员会应当对评审过程资料和文件逐一进行复核。对采购超预算的，报价文件被认定为无效的和终止评审等情形，进行重点复核、分析原因，并在评审报告中注明。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11.评审委员会依据经过复核的评审结果，推荐预成交供应商。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(4)谈判记录和评审情况及说明，包括无效报价供应商名称及原因；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成交供应商、各轮次报价汇总表，以及推荐预成交供应商的理由，尤其是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宣布评审结果。评审结果由评审委员会组长在谈判现场向参与采购活动的报价方当场公布，且不得更改。公布的内容至少应包含预成交供应商名称和结果，若为无效报价，则公布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供应商报价超采购预算的，评审委员会应当分析原因；一般情况下视为需求部门（单位）不能支付，应当予以终止采购。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同一需求部门（单位）同一经费来源的同类物资，部分产品单价或者金额超采购预算，但成交总金额未超采购预算的，不视为需求部门（单位）不能支付。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 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 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hint="eastAsia" w:cs="Times New Roman" w:asciiTheme="minorEastAsia" w:hAnsiTheme="minorEastAsia"/>
          <w:kern w:val="0"/>
          <w:sz w:val="24"/>
          <w:szCs w:val="24"/>
        </w:rPr>
        <w:t xml:space="preserve"> </w:t>
      </w:r>
      <w:r>
        <w:rPr>
          <w:rFonts w:hint="eastAsia" w:ascii="宋体" w:hAnsi="宋体" w:eastAsia="宋体" w:cs="Times New Roman"/>
          <w:kern w:val="0"/>
          <w:sz w:val="24"/>
          <w:szCs w:val="24"/>
        </w:rPr>
        <w:t>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(6)提供虚假样品或借用、冒用其他供应商样品的；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（七）经评审委员会评审，认为报价不符合谈判文件要求的，评审委员会可否决报价，采购机构有权重新组织采购。</w:t>
      </w:r>
    </w:p>
    <w:p>
      <w:pPr>
        <w:tabs>
          <w:tab w:val="left" w:pos="1608"/>
        </w:tabs>
        <w:spacing w:line="440" w:lineRule="exact"/>
        <w:ind w:firstLine="462" w:firstLineChars="200"/>
        <w:rPr>
          <w:rFonts w:ascii="宋体" w:hAnsi="宋体" w:eastAsia="宋体" w:cs="Times New Roman"/>
          <w:kern w:val="0"/>
          <w:sz w:val="24"/>
          <w:szCs w:val="24"/>
        </w:rPr>
      </w:pPr>
      <w:r>
        <w:rPr>
          <w:rFonts w:ascii="宋体" w:hAnsi="宋体" w:eastAsia="宋体" w:cs="Times New Roman"/>
          <w:kern w:val="0"/>
          <w:sz w:val="24"/>
          <w:szCs w:val="24"/>
        </w:rPr>
        <w:tab/>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质疑与投诉</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hint="eastAsia" w:cs="Times New Roman" w:asciiTheme="minorEastAsia" w:hAnsiTheme="minorEastAsia"/>
          <w:kern w:val="0"/>
          <w:sz w:val="24"/>
          <w:szCs w:val="24"/>
        </w:rPr>
        <w:t>质疑由我院物资采购中心受理，投诉由我院采购领导小组办公室受理。供应商投诉事项应当是经过质疑的事项，未质疑的事项，投诉不予受理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质疑</w:t>
      </w:r>
      <w:r>
        <w:rPr>
          <w:rFonts w:hint="eastAsia" w:ascii="宋体" w:hAnsi="宋体" w:eastAsia="宋体" w:cs="Times New Roman"/>
          <w:kern w:val="0"/>
          <w:sz w:val="24"/>
          <w:szCs w:val="24"/>
        </w:rPr>
        <w:t>处理机构</w:t>
      </w:r>
      <w:r>
        <w:rPr>
          <w:rFonts w:ascii="宋体" w:hAnsi="宋体" w:eastAsia="宋体" w:cs="Times New Roman"/>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陈老师、姚老师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023-68766150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w:t>
      </w:r>
      <w:r>
        <w:rPr>
          <w:rFonts w:ascii="宋体" w:hAnsi="宋体" w:eastAsia="宋体" w:cs="Times New Roman"/>
          <w:kern w:val="0"/>
          <w:sz w:val="24"/>
          <w:szCs w:val="24"/>
        </w:rPr>
        <w:t>认为下列事项使自己权益受到损害的，</w:t>
      </w:r>
      <w:r>
        <w:rPr>
          <w:rFonts w:hint="eastAsia" w:ascii="宋体" w:hAnsi="宋体" w:eastAsia="宋体" w:cs="Times New Roman"/>
          <w:kern w:val="0"/>
          <w:sz w:val="24"/>
          <w:szCs w:val="24"/>
        </w:rPr>
        <w:t>可以</w:t>
      </w:r>
      <w:r>
        <w:rPr>
          <w:rFonts w:ascii="宋体" w:hAnsi="宋体" w:eastAsia="宋体" w:cs="Times New Roman"/>
          <w:kern w:val="0"/>
          <w:sz w:val="24"/>
          <w:szCs w:val="24"/>
        </w:rPr>
        <w:t>在评审结果公示期内，向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提出书面质疑</w:t>
      </w:r>
      <w:r>
        <w:rPr>
          <w:rFonts w:hint="eastAsia" w:ascii="宋体" w:hAnsi="宋体" w:eastAsia="宋体" w:cs="Times New Roman"/>
          <w:kern w:val="0"/>
          <w:sz w:val="24"/>
          <w:szCs w:val="24"/>
        </w:rPr>
        <w:t>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w:t>
      </w:r>
      <w:r>
        <w:rPr>
          <w:rFonts w:ascii="宋体" w:hAnsi="宋体" w:eastAsia="宋体" w:cs="Times New Roman"/>
          <w:kern w:val="0"/>
          <w:sz w:val="24"/>
          <w:szCs w:val="24"/>
        </w:rPr>
        <w:t>或者相关人员与供应商有利害关系，应当回避而没有回避的；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采购程序违反军队采购相关规定的；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3.采购机构与供应商之间</w:t>
      </w:r>
      <w:r>
        <w:rPr>
          <w:rFonts w:ascii="宋体" w:hAnsi="宋体" w:eastAsia="宋体" w:cs="Times New Roman"/>
          <w:kern w:val="0"/>
          <w:sz w:val="24"/>
          <w:szCs w:val="24"/>
        </w:rPr>
        <w:t>存在串通行为的；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提供虚假资料</w:t>
      </w:r>
      <w:r>
        <w:rPr>
          <w:rFonts w:hint="eastAsia" w:ascii="宋体" w:hAnsi="宋体" w:eastAsia="宋体" w:cs="Times New Roman"/>
          <w:kern w:val="0"/>
          <w:sz w:val="24"/>
          <w:szCs w:val="24"/>
        </w:rPr>
        <w:t>骗取成交</w:t>
      </w:r>
      <w:r>
        <w:rPr>
          <w:rFonts w:ascii="宋体" w:hAnsi="宋体" w:eastAsia="宋体" w:cs="Times New Roman"/>
          <w:kern w:val="0"/>
          <w:sz w:val="24"/>
          <w:szCs w:val="24"/>
        </w:rPr>
        <w:t>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违反采购相关法律法规使自己权益受到损害的其他事项。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w:t>
      </w:r>
      <w:r>
        <w:rPr>
          <w:rFonts w:ascii="宋体" w:hAnsi="宋体" w:eastAsia="宋体" w:cs="Times New Roman"/>
          <w:kern w:val="0"/>
          <w:sz w:val="24"/>
          <w:szCs w:val="24"/>
        </w:rPr>
        <w:t>书面质疑</w:t>
      </w:r>
      <w:r>
        <w:rPr>
          <w:rFonts w:hint="eastAsia" w:ascii="宋体" w:hAnsi="宋体" w:eastAsia="宋体" w:cs="Times New Roman"/>
          <w:kern w:val="0"/>
          <w:sz w:val="24"/>
          <w:szCs w:val="24"/>
        </w:rPr>
        <w:t>应</w:t>
      </w:r>
      <w:r>
        <w:rPr>
          <w:rFonts w:ascii="宋体" w:hAnsi="宋体" w:eastAsia="宋体" w:cs="Times New Roman"/>
          <w:kern w:val="0"/>
          <w:sz w:val="24"/>
          <w:szCs w:val="24"/>
        </w:rPr>
        <w:t>由法定代表人签字</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加盖单位公章，同时出具法定代表人资格证明书</w:t>
      </w:r>
      <w:r>
        <w:rPr>
          <w:rFonts w:hint="eastAsia" w:ascii="宋体" w:hAnsi="宋体" w:eastAsia="宋体" w:cs="Times New Roman"/>
          <w:kern w:val="0"/>
          <w:sz w:val="24"/>
          <w:szCs w:val="24"/>
        </w:rPr>
        <w:t>。</w:t>
      </w:r>
      <w:r>
        <w:rPr>
          <w:rFonts w:ascii="宋体" w:hAnsi="宋体" w:eastAsia="宋体" w:cs="Times New Roman"/>
          <w:kern w:val="0"/>
          <w:sz w:val="24"/>
          <w:szCs w:val="24"/>
        </w:rPr>
        <w:t>由</w:t>
      </w:r>
      <w:r>
        <w:rPr>
          <w:rFonts w:hint="eastAsia" w:ascii="宋体" w:hAnsi="宋体" w:eastAsia="宋体" w:cs="Times New Roman"/>
          <w:kern w:val="0"/>
          <w:sz w:val="24"/>
          <w:szCs w:val="24"/>
        </w:rPr>
        <w:t>全权代表</w:t>
      </w:r>
      <w:r>
        <w:rPr>
          <w:rFonts w:ascii="宋体" w:hAnsi="宋体" w:eastAsia="宋体" w:cs="Times New Roman"/>
          <w:kern w:val="0"/>
          <w:sz w:val="24"/>
          <w:szCs w:val="24"/>
        </w:rPr>
        <w:t>签字的，必须有法定代表人授权</w:t>
      </w:r>
      <w:r>
        <w:rPr>
          <w:rFonts w:hint="eastAsia" w:ascii="宋体" w:hAnsi="宋体" w:eastAsia="宋体" w:cs="Times New Roman"/>
          <w:kern w:val="0"/>
          <w:sz w:val="24"/>
          <w:szCs w:val="24"/>
        </w:rPr>
        <w:t>书和</w:t>
      </w:r>
      <w:r>
        <w:rPr>
          <w:rFonts w:ascii="宋体" w:hAnsi="宋体" w:eastAsia="宋体" w:cs="Times New Roman"/>
          <w:kern w:val="0"/>
          <w:sz w:val="24"/>
          <w:szCs w:val="24"/>
        </w:rPr>
        <w:t>法定代表人资格证明书</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w:t>
      </w:r>
      <w:r>
        <w:rPr>
          <w:rFonts w:hint="eastAsia" w:ascii="宋体" w:hAnsi="宋体" w:eastAsia="宋体" w:cs="Times New Roman"/>
          <w:kern w:val="0"/>
          <w:sz w:val="24"/>
          <w:szCs w:val="24"/>
        </w:rPr>
        <w:t>。书面</w:t>
      </w:r>
      <w:r>
        <w:rPr>
          <w:rFonts w:ascii="宋体" w:hAnsi="宋体" w:eastAsia="宋体" w:cs="Times New Roman"/>
          <w:kern w:val="0"/>
          <w:sz w:val="24"/>
          <w:szCs w:val="24"/>
        </w:rPr>
        <w:t>质疑主要包括下列内容：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1.质疑的采购项目名称和项目编号；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w:t>
      </w:r>
      <w:r>
        <w:rPr>
          <w:rFonts w:hint="eastAsia" w:ascii="宋体" w:hAnsi="宋体" w:eastAsia="宋体" w:cs="Times New Roman"/>
          <w:kern w:val="0"/>
          <w:sz w:val="24"/>
          <w:szCs w:val="24"/>
        </w:rPr>
        <w:t>人</w:t>
      </w:r>
      <w:r>
        <w:rPr>
          <w:rFonts w:ascii="宋体" w:hAnsi="宋体" w:eastAsia="宋体" w:cs="Times New Roman"/>
          <w:kern w:val="0"/>
          <w:sz w:val="24"/>
          <w:szCs w:val="24"/>
        </w:rPr>
        <w:t>和被质疑人的名称，质疑人的地址、联系方式等；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具体的质疑事项、事实依据及相关证明材料；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提起质疑的日期。</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质疑有以下情形之一的，</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不予受理：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1.未按规定程序和渠道提出质疑的；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超</w:t>
      </w:r>
      <w:r>
        <w:rPr>
          <w:rFonts w:hint="eastAsia" w:ascii="宋体" w:hAnsi="宋体" w:eastAsia="宋体" w:cs="Times New Roman"/>
          <w:kern w:val="0"/>
          <w:sz w:val="24"/>
          <w:szCs w:val="24"/>
        </w:rPr>
        <w:t>过</w:t>
      </w:r>
      <w:r>
        <w:rPr>
          <w:rFonts w:ascii="宋体" w:hAnsi="宋体" w:eastAsia="宋体" w:cs="Times New Roman"/>
          <w:kern w:val="0"/>
          <w:sz w:val="24"/>
          <w:szCs w:val="24"/>
        </w:rPr>
        <w:t>质疑限期</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3.书面</w:t>
      </w:r>
      <w:r>
        <w:rPr>
          <w:rFonts w:ascii="宋体" w:hAnsi="宋体" w:eastAsia="宋体" w:cs="Times New Roman"/>
          <w:kern w:val="0"/>
          <w:sz w:val="24"/>
          <w:szCs w:val="24"/>
        </w:rPr>
        <w:t>质疑的形式和内容不符合</w:t>
      </w:r>
      <w:r>
        <w:rPr>
          <w:rFonts w:hint="eastAsia" w:ascii="宋体" w:hAnsi="宋体" w:eastAsia="宋体" w:cs="Times New Roman"/>
          <w:kern w:val="0"/>
          <w:sz w:val="24"/>
          <w:szCs w:val="24"/>
        </w:rPr>
        <w:t>上述要求的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提出的质疑事项已经明确答复的；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法律法规规定的其他不予受理的条件。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（七）质疑处理机构</w:t>
      </w:r>
      <w:r>
        <w:rPr>
          <w:rFonts w:ascii="宋体" w:hAnsi="宋体" w:eastAsia="宋体" w:cs="Times New Roman"/>
          <w:kern w:val="0"/>
          <w:sz w:val="24"/>
          <w:szCs w:val="24"/>
        </w:rPr>
        <w:t>应当自质疑签收之日起</w:t>
      </w:r>
      <w:r>
        <w:rPr>
          <w:rFonts w:hint="eastAsia" w:ascii="宋体" w:hAnsi="宋体" w:eastAsia="宋体" w:cs="Times New Roman"/>
          <w:kern w:val="0"/>
          <w:sz w:val="24"/>
          <w:szCs w:val="24"/>
        </w:rPr>
        <w:t>7</w:t>
      </w:r>
      <w:r>
        <w:rPr>
          <w:rFonts w:ascii="宋体" w:hAnsi="宋体" w:eastAsia="宋体" w:cs="Times New Roman"/>
          <w:kern w:val="0"/>
          <w:sz w:val="24"/>
          <w:szCs w:val="24"/>
        </w:rPr>
        <w:t>个工作日内做出书面答复。答复内容同时通知与处理结果有关的供应商，但答复内容不得涉及供应商的商业秘密。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在作出书面答复之前，可以采取现场解答的方式向</w:t>
      </w:r>
      <w:r>
        <w:rPr>
          <w:rFonts w:hint="eastAsia" w:ascii="宋体" w:hAnsi="宋体" w:eastAsia="宋体" w:cs="Times New Roman"/>
          <w:kern w:val="0"/>
          <w:sz w:val="24"/>
          <w:szCs w:val="24"/>
        </w:rPr>
        <w:t>质疑人</w:t>
      </w:r>
      <w:r>
        <w:rPr>
          <w:rFonts w:ascii="宋体" w:hAnsi="宋体" w:eastAsia="宋体" w:cs="Times New Roman"/>
          <w:kern w:val="0"/>
          <w:sz w:val="24"/>
          <w:szCs w:val="24"/>
        </w:rPr>
        <w:t>通报初步处理结果。供应商认可处理结果的，可在出具书面申请后撤回质疑或者放弃质疑，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不再进行书面答复。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（八）供应商</w:t>
      </w:r>
      <w:r>
        <w:rPr>
          <w:rFonts w:ascii="宋体" w:hAnsi="宋体" w:eastAsia="宋体" w:cs="Times New Roman"/>
          <w:kern w:val="0"/>
          <w:sz w:val="24"/>
          <w:szCs w:val="24"/>
        </w:rPr>
        <w:t>质疑有下列情形之一的，视为无效质疑，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应当驳回质疑：</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无具体的质疑事项，或者质疑事项缺乏事实和法律依据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质疑内容涉及评审工作细节、其他供应商</w:t>
      </w:r>
      <w:r>
        <w:rPr>
          <w:rFonts w:hint="eastAsia" w:ascii="宋体" w:hAnsi="宋体" w:eastAsia="宋体" w:cs="Times New Roman"/>
          <w:kern w:val="0"/>
          <w:sz w:val="24"/>
          <w:szCs w:val="24"/>
        </w:rPr>
        <w:t>报价</w:t>
      </w:r>
      <w:r>
        <w:rPr>
          <w:rFonts w:ascii="宋体" w:hAnsi="宋体" w:eastAsia="宋体" w:cs="Times New Roman"/>
          <w:kern w:val="0"/>
          <w:sz w:val="24"/>
          <w:szCs w:val="24"/>
        </w:rPr>
        <w:t>资料等保密事项且无法提供信息的合法来源</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质疑已经处理并明确答复后，质疑人就同一事项再次提起质疑且未提供新的有效证据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应当对供应商无效质疑情况记录存档</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（九）供应商</w:t>
      </w:r>
      <w:r>
        <w:rPr>
          <w:rFonts w:ascii="宋体" w:hAnsi="宋体" w:eastAsia="宋体" w:cs="Times New Roman"/>
          <w:kern w:val="0"/>
          <w:sz w:val="24"/>
          <w:szCs w:val="24"/>
        </w:rPr>
        <w:t>进行虚假和恶意质疑，干扰</w:t>
      </w:r>
      <w:r>
        <w:rPr>
          <w:rFonts w:hint="eastAsia" w:ascii="宋体" w:hAnsi="宋体" w:eastAsia="宋体" w:cs="Times New Roman"/>
          <w:kern w:val="0"/>
          <w:sz w:val="24"/>
          <w:szCs w:val="24"/>
        </w:rPr>
        <w:t>医院</w:t>
      </w:r>
      <w:r>
        <w:rPr>
          <w:rFonts w:ascii="宋体" w:hAnsi="宋体" w:eastAsia="宋体" w:cs="Times New Roman"/>
          <w:kern w:val="0"/>
          <w:sz w:val="24"/>
          <w:szCs w:val="24"/>
        </w:rPr>
        <w:t>采购活动的，</w:t>
      </w:r>
      <w:r>
        <w:rPr>
          <w:rFonts w:hint="eastAsia" w:ascii="宋体" w:hAnsi="宋体" w:eastAsia="宋体" w:cs="Times New Roman"/>
          <w:kern w:val="0"/>
          <w:sz w:val="24"/>
          <w:szCs w:val="24"/>
        </w:rPr>
        <w:t>质疑处理机构可以申请上级采购管理部门作出处罚。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七、确定成交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（一）确定成交供应商</w:t>
      </w:r>
    </w:p>
    <w:p>
      <w:pPr>
        <w:spacing w:line="440" w:lineRule="exact"/>
        <w:ind w:firstLine="462"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1.评审结束后3个工作日内，采购机构根据评审委员会提出的书面评审报告，在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w:t>
      </w:r>
      <w:r>
        <w:rPr>
          <w:rFonts w:hint="eastAsia" w:ascii="宋体" w:hAnsi="宋体" w:eastAsia="宋体" w:cs="宋体"/>
          <w:snapToGrid w:val="0"/>
          <w:kern w:val="0"/>
          <w:sz w:val="24"/>
          <w:szCs w:val="24"/>
        </w:rPr>
        <w:t>，公示期为3个工作日。在公示期内无异议的，确定该供应商为采购项目成交供应商。公示期内有异议的，按照本须知“质疑与投诉”规定的程序处理。</w:t>
      </w:r>
    </w:p>
    <w:p>
      <w:pPr>
        <w:spacing w:line="440" w:lineRule="exact"/>
        <w:ind w:firstLine="462"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预成交供应商有正当理由放弃成交，或者因不可抗力不能履行合同，或者被查实存在影响评审结果等违法情形、不符合成交条件的，采购机构可以重新组织采购。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2.采购机构有权根据采购任务变更等实际情况调整成交数量。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（二）</w:t>
      </w:r>
      <w:r>
        <w:rPr>
          <w:rFonts w:hint="eastAsia" w:ascii="宋体" w:hAnsi="宋体" w:eastAsia="宋体" w:cs="Times New Roman"/>
          <w:snapToGrid w:val="0"/>
          <w:kern w:val="0"/>
          <w:sz w:val="24"/>
          <w:szCs w:val="24"/>
        </w:rPr>
        <w:t>成交通知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采购机构在确定成交供应商后3个工作日内，以书面形式向成交供应商发出《成交通知书》。</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《成交通知书》是签订合同草案的依据。若合同草案未获批准，采购机构有权取消合同草案。</w:t>
      </w:r>
      <w:r>
        <w:rPr>
          <w:rFonts w:hint="eastAsia" w:ascii="宋体" w:hAnsi="宋体" w:eastAsia="宋体" w:cs="宋体"/>
          <w:snapToGrid w:val="0"/>
          <w:kern w:val="0"/>
          <w:sz w:val="24"/>
          <w:szCs w:val="24"/>
        </w:rPr>
        <w:t>《成交通知书》及签订的合同草案不能作为成交供应商启动生产或备货的依据，应待正式合同签订后再启动生产备货，否则，由此造成的后果由成交供应商自行承担。</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八、签订</w:t>
      </w:r>
      <w:r>
        <w:rPr>
          <w:rFonts w:ascii="宋体" w:hAnsi="宋体" w:eastAsia="宋体" w:cs="Times New Roman"/>
          <w:kern w:val="0"/>
          <w:sz w:val="24"/>
          <w:szCs w:val="24"/>
        </w:rPr>
        <w:t>合同</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（一）成交供应商在采购机构发出《成交通知书》之日起，按照采购机构规定的时间、地点签订合同。未经采购机构同意逾期不签订合同的，将取消成交供应商成交资格。</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（二）谈判文件、成交供应商的报价文件、补充报价文件、澄清承诺、说明、补正和《成交通知书》等，均为签订合同的依据。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（三）成交供应商应当按照合同约定履行义务，完成采购项目。成交供应商不得向他人转让采购项目，也不得将采购项目分包向他人转让或委托加工。</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（四）</w:t>
      </w:r>
      <w:r>
        <w:rPr>
          <w:rFonts w:hint="eastAsia" w:cs="Times New Roman" w:asciiTheme="minorEastAsia" w:hAnsiTheme="minor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r>
        <w:rPr>
          <w:rFonts w:hint="eastAsia" w:ascii="宋体" w:hAnsi="宋体" w:eastAsia="宋体" w:cs="宋体"/>
          <w:snapToGrid w:val="0"/>
          <w:kern w:val="0"/>
          <w:sz w:val="24"/>
          <w:szCs w:val="24"/>
          <w:lang w:val="zh-CN"/>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九、</w:t>
      </w:r>
      <w:r>
        <w:rPr>
          <w:rFonts w:ascii="宋体" w:hAnsi="宋体" w:eastAsia="宋体" w:cs="Times New Roman"/>
          <w:kern w:val="0"/>
          <w:sz w:val="24"/>
          <w:szCs w:val="24"/>
        </w:rPr>
        <w:t>产品</w:t>
      </w:r>
      <w:r>
        <w:rPr>
          <w:rFonts w:hint="eastAsia" w:ascii="宋体" w:hAnsi="宋体" w:eastAsia="宋体" w:cs="Times New Roman"/>
          <w:kern w:val="0"/>
          <w:sz w:val="24"/>
          <w:szCs w:val="24"/>
        </w:rPr>
        <w:t>质量</w:t>
      </w:r>
      <w:r>
        <w:rPr>
          <w:rFonts w:ascii="宋体" w:hAnsi="宋体" w:eastAsia="宋体" w:cs="Times New Roman"/>
          <w:kern w:val="0"/>
          <w:sz w:val="24"/>
          <w:szCs w:val="24"/>
        </w:rPr>
        <w:t>检验验收</w:t>
      </w:r>
    </w:p>
    <w:p>
      <w:pPr>
        <w:spacing w:line="440" w:lineRule="exact"/>
        <w:ind w:firstLine="462" w:firstLineChars="200"/>
        <w:rPr>
          <w:rFonts w:ascii="宋体" w:hAnsi="宋体" w:eastAsia="宋体" w:cs="宋体"/>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产品质量验收由合同甲方或者其指定（委托）的质检机构组织实施，成交供应商应予以积极配合。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75" w:firstLineChars="249"/>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谈判文件、报价文件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成交供应商应将所提供货物的装箱清单、配件、随机工具、用户使用手册、维修手册、原厂保修卡等资料交付给合同甲方。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ascii="宋体" w:hAnsi="宋体" w:eastAsia="宋体" w:cs="Times New Roman"/>
          <w:kern w:val="0"/>
          <w:sz w:val="24"/>
          <w:szCs w:val="24"/>
        </w:rPr>
        <w:t>解释权限</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仿宋_GB2312" w:hAnsi="宋体" w:eastAsia="仿宋_GB2312" w:cs="Times New Roman"/>
          <w:kern w:val="0"/>
          <w:sz w:val="32"/>
          <w:szCs w:val="32"/>
        </w:rPr>
        <w:sectPr>
          <w:headerReference r:id="rId7" w:type="default"/>
          <w:pgSz w:w="11906" w:h="16838"/>
          <w:pgMar w:top="2098" w:right="1474" w:bottom="1985" w:left="1588" w:header="851" w:footer="964" w:gutter="0"/>
          <w:cols w:space="425" w:num="1"/>
          <w:docGrid w:type="linesAndChars" w:linePitch="579" w:charSpace="-1844"/>
        </w:sectPr>
      </w:pPr>
      <w:r>
        <w:rPr>
          <w:rFonts w:hint="eastAsia" w:ascii="宋体" w:hAnsi="宋体" w:eastAsia="宋体" w:cs="Times New Roman"/>
          <w:kern w:val="0"/>
          <w:sz w:val="24"/>
          <w:szCs w:val="24"/>
        </w:rPr>
        <w:t>本谈判文件由采购机构负责解释。</w:t>
      </w:r>
    </w:p>
    <w:p>
      <w:pPr>
        <w:jc w:val="center"/>
        <w:outlineLvl w:val="0"/>
        <w:rPr>
          <w:rFonts w:ascii="黑体" w:hAnsi="黑体" w:eastAsia="黑体" w:cs="Times New Roman"/>
          <w:bCs/>
          <w:kern w:val="0"/>
          <w:sz w:val="32"/>
          <w:szCs w:val="32"/>
        </w:rPr>
      </w:pPr>
      <w:bookmarkStart w:id="14" w:name="_Toc37172690"/>
      <w:bookmarkStart w:id="15" w:name="_Toc390713969"/>
      <w:bookmarkStart w:id="16" w:name="_Toc435540981"/>
      <w:bookmarkStart w:id="17" w:name="_Toc285612603"/>
      <w:bookmarkStart w:id="18" w:name="_Toc41986764"/>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bookmarkEnd w:id="18"/>
    </w:p>
    <w:p>
      <w:pPr>
        <w:spacing w:line="360" w:lineRule="auto"/>
        <w:jc w:val="right"/>
        <w:rPr>
          <w:rFonts w:ascii="宋体" w:hAnsi="宋体" w:cs="宋体"/>
          <w:bCs/>
          <w:color w:val="000000" w:themeColor="text1"/>
          <w:sz w:val="24"/>
          <w:szCs w:val="32"/>
        </w:rPr>
      </w:pPr>
      <w:r>
        <w:rPr>
          <w:rFonts w:hint="eastAsia" w:ascii="宋体" w:hAnsi="宋体" w:cs="宋体"/>
          <w:bCs/>
          <w:color w:val="000000" w:themeColor="text1"/>
          <w:sz w:val="24"/>
          <w:szCs w:val="32"/>
        </w:rPr>
        <w:t xml:space="preserve">                       </w:t>
      </w:r>
      <w:r>
        <w:rPr>
          <w:rFonts w:hint="eastAsia" w:ascii="宋体" w:hAnsi="宋体"/>
          <w:sz w:val="20"/>
        </w:rPr>
        <w:t>合同编号：</w:t>
      </w:r>
    </w:p>
    <w:p>
      <w:pPr>
        <w:pStyle w:val="47"/>
        <w:spacing w:line="360" w:lineRule="auto"/>
        <w:ind w:left="1443" w:firstLine="0" w:firstLineChars="0"/>
        <w:rPr>
          <w:rFonts w:ascii="宋体" w:hAnsi="宋体"/>
          <w:b/>
          <w:bCs/>
          <w:sz w:val="72"/>
          <w:szCs w:val="72"/>
        </w:rPr>
      </w:pPr>
    </w:p>
    <w:p>
      <w:pPr>
        <w:pStyle w:val="47"/>
        <w:spacing w:line="360" w:lineRule="auto"/>
        <w:ind w:left="1443" w:firstLine="0" w:firstLineChars="0"/>
        <w:rPr>
          <w:rFonts w:ascii="宋体" w:hAnsi="宋体"/>
          <w:b/>
          <w:bCs/>
          <w:sz w:val="72"/>
          <w:szCs w:val="72"/>
        </w:rPr>
      </w:pPr>
    </w:p>
    <w:p>
      <w:pPr>
        <w:pStyle w:val="47"/>
        <w:spacing w:line="360" w:lineRule="auto"/>
        <w:ind w:left="1443" w:firstLine="0" w:firstLineChars="0"/>
        <w:rPr>
          <w:rFonts w:ascii="宋体" w:hAnsi="宋体"/>
          <w:b/>
          <w:bCs/>
          <w:sz w:val="72"/>
          <w:szCs w:val="72"/>
        </w:rPr>
      </w:pPr>
    </w:p>
    <w:p>
      <w:pPr>
        <w:pStyle w:val="47"/>
        <w:spacing w:line="360" w:lineRule="auto"/>
        <w:ind w:left="1448" w:leftChars="743" w:firstLine="1036" w:firstLineChars="147"/>
        <w:rPr>
          <w:rFonts w:ascii="宋体" w:hAnsi="宋体"/>
          <w:b/>
          <w:bCs/>
          <w:sz w:val="72"/>
          <w:szCs w:val="72"/>
        </w:rPr>
      </w:pPr>
      <w:r>
        <w:rPr>
          <w:rFonts w:hint="eastAsia" w:ascii="宋体" w:hAnsi="宋体"/>
          <w:b/>
          <w:bCs/>
          <w:sz w:val="72"/>
          <w:szCs w:val="72"/>
        </w:rPr>
        <w:t>信息类项目合同书</w:t>
      </w:r>
    </w:p>
    <w:p>
      <w:pPr>
        <w:spacing w:line="360" w:lineRule="auto"/>
        <w:ind w:firstLine="854" w:firstLineChars="280"/>
        <w:rPr>
          <w:rFonts w:ascii="宋体" w:hAnsi="宋体"/>
          <w:b/>
          <w:bCs/>
          <w:sz w:val="32"/>
          <w:szCs w:val="32"/>
        </w:rPr>
      </w:pPr>
    </w:p>
    <w:p>
      <w:pPr>
        <w:spacing w:line="360" w:lineRule="auto"/>
        <w:ind w:firstLine="1304" w:firstLineChars="378"/>
        <w:rPr>
          <w:rFonts w:ascii="宋体" w:hAnsi="宋体"/>
          <w:b/>
          <w:bCs/>
          <w:sz w:val="36"/>
          <w:szCs w:val="36"/>
          <w:u w:val="single"/>
        </w:rPr>
      </w:pPr>
      <w:r>
        <w:rPr>
          <w:rFonts w:hint="eastAsia" w:ascii="宋体" w:hAnsi="宋体"/>
          <w:b/>
          <w:bCs/>
          <w:sz w:val="36"/>
          <w:szCs w:val="36"/>
        </w:rPr>
        <w:t>项目名称:</w:t>
      </w:r>
      <w:r>
        <w:rPr>
          <w:rFonts w:ascii="宋体" w:hAnsi="宋体"/>
          <w:b/>
          <w:bCs/>
          <w:sz w:val="36"/>
          <w:szCs w:val="36"/>
          <w:u w:val="single"/>
        </w:rPr>
        <w:t xml:space="preserve"> </w:t>
      </w:r>
    </w:p>
    <w:p>
      <w:pPr>
        <w:spacing w:line="360" w:lineRule="auto"/>
        <w:ind w:firstLine="1304" w:firstLineChars="378"/>
        <w:rPr>
          <w:rFonts w:ascii="宋体" w:hAnsi="宋体"/>
          <w:b/>
          <w:bCs/>
          <w:sz w:val="36"/>
          <w:szCs w:val="36"/>
          <w:u w:val="single"/>
        </w:rPr>
      </w:pPr>
      <w:r>
        <w:rPr>
          <w:rFonts w:hint="eastAsia" w:ascii="宋体" w:hAnsi="宋体"/>
          <w:b/>
          <w:bCs/>
          <w:sz w:val="36"/>
          <w:szCs w:val="36"/>
        </w:rPr>
        <w:t>项目编号:</w:t>
      </w:r>
      <w:r>
        <w:rPr>
          <w:rFonts w:hint="eastAsia" w:ascii="宋体" w:hAnsi="宋体"/>
          <w:b/>
          <w:bCs/>
          <w:color w:val="FF0000"/>
          <w:sz w:val="36"/>
          <w:szCs w:val="36"/>
        </w:rPr>
        <w:t xml:space="preserve"> </w:t>
      </w:r>
    </w:p>
    <w:p>
      <w:pPr>
        <w:spacing w:line="360" w:lineRule="auto"/>
        <w:ind w:firstLine="1304" w:firstLineChars="378"/>
        <w:rPr>
          <w:rFonts w:ascii="宋体" w:hAnsi="宋体"/>
          <w:b/>
          <w:bCs/>
          <w:sz w:val="36"/>
          <w:szCs w:val="36"/>
          <w:u w:val="single"/>
        </w:rPr>
      </w:pPr>
      <w:r>
        <w:rPr>
          <w:rFonts w:hint="eastAsia" w:ascii="宋体" w:hAnsi="宋体"/>
          <w:b/>
          <w:bCs/>
          <w:sz w:val="36"/>
          <w:szCs w:val="36"/>
        </w:rPr>
        <w:t>甲    方:陆军军医大学第一附属医院</w:t>
      </w:r>
    </w:p>
    <w:p>
      <w:pPr>
        <w:spacing w:line="360" w:lineRule="auto"/>
        <w:ind w:firstLine="1304" w:firstLineChars="378"/>
        <w:rPr>
          <w:rFonts w:ascii="宋体" w:hAnsi="宋体"/>
          <w:b/>
          <w:bCs/>
          <w:sz w:val="32"/>
          <w:szCs w:val="32"/>
          <w:u w:val="single"/>
        </w:rPr>
      </w:pPr>
      <w:r>
        <w:rPr>
          <w:rFonts w:hint="eastAsia" w:ascii="宋体" w:hAnsi="宋体"/>
          <w:b/>
          <w:bCs/>
          <w:sz w:val="36"/>
          <w:szCs w:val="36"/>
        </w:rPr>
        <w:t>乙    方:</w:t>
      </w:r>
      <w:r>
        <w:rPr>
          <w:rFonts w:ascii="宋体" w:hAnsi="宋体"/>
          <w:b/>
          <w:bCs/>
          <w:sz w:val="32"/>
          <w:szCs w:val="32"/>
          <w:u w:val="single"/>
        </w:rPr>
        <w:t xml:space="preserve"> </w:t>
      </w:r>
    </w:p>
    <w:p>
      <w:pPr>
        <w:spacing w:line="360" w:lineRule="auto"/>
        <w:ind w:firstLine="2989" w:firstLineChars="980"/>
        <w:rPr>
          <w:rFonts w:ascii="宋体" w:hAnsi="宋体"/>
          <w:b/>
          <w:bCs/>
          <w:sz w:val="32"/>
          <w:szCs w:val="32"/>
        </w:rPr>
      </w:pPr>
    </w:p>
    <w:p>
      <w:pPr>
        <w:spacing w:line="360" w:lineRule="auto"/>
        <w:rPr>
          <w:rFonts w:ascii="宋体" w:hAnsi="宋体"/>
          <w:b/>
          <w:bCs/>
          <w:sz w:val="32"/>
          <w:szCs w:val="32"/>
        </w:rPr>
      </w:pPr>
    </w:p>
    <w:p>
      <w:pPr>
        <w:spacing w:line="360" w:lineRule="auto"/>
        <w:ind w:firstLine="4514" w:firstLineChars="1480"/>
        <w:rPr>
          <w:rFonts w:ascii="宋体" w:hAnsi="宋体"/>
          <w:b/>
          <w:bCs/>
          <w:sz w:val="32"/>
          <w:szCs w:val="32"/>
        </w:rPr>
      </w:pPr>
    </w:p>
    <w:p>
      <w:pPr>
        <w:spacing w:line="360" w:lineRule="auto"/>
        <w:ind w:firstLine="2032" w:firstLineChars="589"/>
        <w:jc w:val="left"/>
        <w:rPr>
          <w:rFonts w:ascii="宋体" w:hAnsi="宋体"/>
          <w:b/>
          <w:bCs/>
          <w:sz w:val="36"/>
          <w:szCs w:val="36"/>
        </w:rPr>
      </w:pPr>
      <w:r>
        <w:rPr>
          <w:rFonts w:hint="eastAsia" w:ascii="宋体" w:hAnsi="宋体"/>
          <w:b/>
          <w:bCs/>
          <w:sz w:val="36"/>
          <w:szCs w:val="36"/>
        </w:rPr>
        <w:t>签署日期：    年      月      日</w:t>
      </w:r>
    </w:p>
    <w:p>
      <w:pPr>
        <w:widowControl/>
        <w:tabs>
          <w:tab w:val="left" w:pos="6805"/>
        </w:tabs>
        <w:autoSpaceDE w:val="0"/>
        <w:autoSpaceDN w:val="0"/>
        <w:textAlignment w:val="bottom"/>
        <w:rPr>
          <w:rFonts w:eastAsia="黑体"/>
          <w:color w:val="000000"/>
          <w:sz w:val="20"/>
        </w:rPr>
      </w:pPr>
    </w:p>
    <w:p>
      <w:pPr>
        <w:pStyle w:val="49"/>
        <w:rPr>
          <w:rFonts w:ascii="宋体" w:hAnsi="宋体" w:eastAsia="宋体" w:cs="宋体"/>
          <w:szCs w:val="24"/>
        </w:rPr>
      </w:pPr>
    </w:p>
    <w:p>
      <w:pPr>
        <w:spacing w:line="360" w:lineRule="auto"/>
        <w:ind w:firstLine="630" w:firstLineChars="280"/>
        <w:rPr>
          <w:rFonts w:ascii="宋体" w:hAnsi="宋体" w:eastAsia="宋体" w:cs="宋体"/>
          <w:color w:val="000000"/>
          <w:kern w:val="0"/>
          <w:sz w:val="24"/>
          <w:szCs w:val="24"/>
        </w:rPr>
      </w:pPr>
      <w:r>
        <w:rPr>
          <w:rFonts w:hint="eastAsia" w:ascii="宋体" w:hAnsi="宋体" w:eastAsia="宋体" w:cs="宋体"/>
          <w:color w:val="000000"/>
          <w:kern w:val="0"/>
          <w:sz w:val="24"/>
          <w:szCs w:val="24"/>
        </w:rPr>
        <w:t>根据甲乙双方共同协商，甲、乙双方就“    ”采购事宜，本着平等互惠的精神，甲乙双方特签订本项目合同，以资双方遵守。</w:t>
      </w:r>
    </w:p>
    <w:p>
      <w:pPr>
        <w:pStyle w:val="50"/>
        <w:spacing w:line="240" w:lineRule="auto"/>
        <w:ind w:left="0"/>
        <w:rPr>
          <w:rFonts w:ascii="华文中宋" w:hAnsi="华文中宋" w:eastAsia="华文中宋"/>
          <w:szCs w:val="24"/>
        </w:rPr>
      </w:pPr>
      <w:r>
        <w:rPr>
          <w:rFonts w:hint="eastAsia" w:ascii="宋体" w:hAnsi="宋体" w:eastAsia="宋体" w:cs="宋体"/>
          <w:szCs w:val="24"/>
        </w:rPr>
        <w:t>一、产品清单列表（包含品牌型号、配置、单价）（列表）</w:t>
      </w:r>
    </w:p>
    <w:tbl>
      <w:tblPr>
        <w:tblStyle w:val="18"/>
        <w:tblpPr w:leftFromText="180" w:rightFromText="180" w:vertAnchor="text" w:horzAnchor="margin" w:tblpY="40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643"/>
        <w:gridCol w:w="2235"/>
        <w:gridCol w:w="2421"/>
        <w:gridCol w:w="1350"/>
        <w:gridCol w:w="1085"/>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339" w:type="pct"/>
            <w:vAlign w:val="center"/>
          </w:tcPr>
          <w:p>
            <w:pPr>
              <w:jc w:val="center"/>
              <w:rPr>
                <w:rFonts w:ascii="宋体" w:hAnsi="宋体" w:cs="宋体"/>
              </w:rPr>
            </w:pPr>
            <w:r>
              <w:rPr>
                <w:rFonts w:hint="eastAsia" w:ascii="宋体" w:hAnsi="宋体" w:cs="宋体"/>
              </w:rPr>
              <w:t>序号</w:t>
            </w:r>
          </w:p>
        </w:tc>
        <w:tc>
          <w:tcPr>
            <w:tcW w:w="780" w:type="pct"/>
            <w:vAlign w:val="center"/>
          </w:tcPr>
          <w:p>
            <w:pPr>
              <w:jc w:val="center"/>
              <w:rPr>
                <w:rFonts w:ascii="宋体" w:hAnsi="宋体" w:cs="宋体"/>
              </w:rPr>
            </w:pPr>
            <w:r>
              <w:rPr>
                <w:rFonts w:hint="eastAsia" w:ascii="宋体" w:hAnsi="宋体" w:cs="宋体"/>
              </w:rPr>
              <w:t>产品名称</w:t>
            </w:r>
          </w:p>
        </w:tc>
        <w:tc>
          <w:tcPr>
            <w:tcW w:w="1061" w:type="pct"/>
            <w:vAlign w:val="center"/>
          </w:tcPr>
          <w:p>
            <w:pPr>
              <w:jc w:val="center"/>
              <w:rPr>
                <w:rFonts w:ascii="宋体" w:hAnsi="宋体" w:cs="宋体"/>
              </w:rPr>
            </w:pPr>
            <w:r>
              <w:rPr>
                <w:rFonts w:hint="eastAsia" w:ascii="宋体" w:hAnsi="宋体" w:cs="宋体"/>
              </w:rPr>
              <w:t>品牌</w:t>
            </w:r>
          </w:p>
          <w:p>
            <w:pPr>
              <w:jc w:val="center"/>
              <w:rPr>
                <w:rFonts w:ascii="宋体" w:hAnsi="宋体" w:cs="宋体"/>
              </w:rPr>
            </w:pPr>
            <w:r>
              <w:rPr>
                <w:rFonts w:ascii="宋体" w:hAnsi="宋体" w:cs="宋体"/>
              </w:rPr>
              <w:t>型号</w:t>
            </w:r>
          </w:p>
        </w:tc>
        <w:tc>
          <w:tcPr>
            <w:tcW w:w="1149" w:type="pct"/>
            <w:vAlign w:val="center"/>
          </w:tcPr>
          <w:p>
            <w:pPr>
              <w:jc w:val="center"/>
              <w:rPr>
                <w:rFonts w:ascii="宋体" w:hAnsi="宋体" w:cs="宋体"/>
              </w:rPr>
            </w:pPr>
            <w:r>
              <w:rPr>
                <w:rFonts w:hint="eastAsia" w:ascii="宋体" w:hAnsi="宋体" w:cs="宋体"/>
              </w:rPr>
              <w:t>配置</w:t>
            </w:r>
          </w:p>
        </w:tc>
        <w:tc>
          <w:tcPr>
            <w:tcW w:w="641" w:type="pct"/>
            <w:vAlign w:val="center"/>
          </w:tcPr>
          <w:p>
            <w:pPr>
              <w:jc w:val="center"/>
              <w:rPr>
                <w:rFonts w:ascii="宋体" w:hAnsi="宋体" w:cs="宋体"/>
              </w:rPr>
            </w:pPr>
            <w:r>
              <w:rPr>
                <w:rFonts w:hint="eastAsia" w:ascii="宋体" w:hAnsi="宋体" w:cs="宋体"/>
              </w:rPr>
              <w:t>数量</w:t>
            </w:r>
          </w:p>
        </w:tc>
        <w:tc>
          <w:tcPr>
            <w:tcW w:w="515" w:type="pct"/>
            <w:vAlign w:val="center"/>
          </w:tcPr>
          <w:p>
            <w:pPr>
              <w:jc w:val="center"/>
              <w:rPr>
                <w:rFonts w:ascii="宋体" w:hAnsi="宋体" w:cs="宋体"/>
              </w:rPr>
            </w:pPr>
            <w:r>
              <w:rPr>
                <w:rFonts w:hint="eastAsia" w:ascii="宋体" w:hAnsi="宋体" w:cs="宋体"/>
              </w:rPr>
              <w:t>单</w:t>
            </w:r>
            <w:r>
              <w:rPr>
                <w:rFonts w:ascii="宋体" w:hAnsi="宋体" w:cs="宋体"/>
              </w:rPr>
              <w:t>价</w:t>
            </w:r>
          </w:p>
          <w:p>
            <w:pPr>
              <w:jc w:val="center"/>
              <w:rPr>
                <w:rFonts w:ascii="宋体" w:hAnsi="宋体" w:cs="宋体"/>
              </w:rPr>
            </w:pPr>
            <w:r>
              <w:rPr>
                <w:rFonts w:ascii="宋体" w:hAnsi="宋体" w:cs="宋体"/>
              </w:rPr>
              <w:t>（</w:t>
            </w:r>
            <w:r>
              <w:rPr>
                <w:rFonts w:hint="eastAsia" w:ascii="宋体" w:hAnsi="宋体" w:cs="宋体"/>
              </w:rPr>
              <w:t>元</w:t>
            </w:r>
            <w:r>
              <w:rPr>
                <w:rFonts w:ascii="宋体" w:hAnsi="宋体" w:cs="宋体"/>
              </w:rPr>
              <w:t>）</w:t>
            </w:r>
          </w:p>
        </w:tc>
        <w:tc>
          <w:tcPr>
            <w:tcW w:w="515" w:type="pct"/>
          </w:tcPr>
          <w:p>
            <w:pPr>
              <w:jc w:val="center"/>
              <w:rPr>
                <w:rFonts w:ascii="宋体" w:hAnsi="宋体" w:cs="宋体"/>
              </w:rPr>
            </w:pPr>
            <w:r>
              <w:rPr>
                <w:rFonts w:hint="eastAsia" w:ascii="宋体" w:hAnsi="宋体" w:cs="宋体"/>
              </w:rPr>
              <w:t>总</w:t>
            </w:r>
            <w:r>
              <w:rPr>
                <w:rFonts w:ascii="宋体" w:hAnsi="宋体" w:cs="宋体"/>
              </w:rPr>
              <w:t>价</w:t>
            </w:r>
          </w:p>
          <w:p>
            <w:pPr>
              <w:jc w:val="center"/>
              <w:rPr>
                <w:rFonts w:ascii="宋体" w:hAnsi="宋体" w:cs="宋体"/>
              </w:rPr>
            </w:pPr>
            <w:r>
              <w:rPr>
                <w:rFonts w:ascii="宋体" w:hAnsi="宋体" w:cs="宋体"/>
              </w:rPr>
              <w:t>（</w:t>
            </w:r>
            <w:r>
              <w:rPr>
                <w:rFonts w:hint="eastAsia" w:ascii="宋体" w:hAnsi="宋体" w:cs="宋体"/>
              </w:rPr>
              <w:t>元</w:t>
            </w:r>
            <w:r>
              <w:rPr>
                <w:rFonts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9" w:hRule="atLeast"/>
        </w:trPr>
        <w:tc>
          <w:tcPr>
            <w:tcW w:w="339" w:type="pct"/>
            <w:vAlign w:val="center"/>
          </w:tcPr>
          <w:p>
            <w:pPr>
              <w:jc w:val="center"/>
              <w:rPr>
                <w:rFonts w:ascii="宋体" w:hAnsi="宋体" w:cs="宋体"/>
              </w:rPr>
            </w:pPr>
          </w:p>
        </w:tc>
        <w:tc>
          <w:tcPr>
            <w:tcW w:w="780" w:type="pct"/>
            <w:vAlign w:val="center"/>
          </w:tcPr>
          <w:p>
            <w:pPr>
              <w:jc w:val="center"/>
              <w:rPr>
                <w:rFonts w:ascii="宋体" w:hAnsi="宋体" w:cs="宋体"/>
              </w:rPr>
            </w:pPr>
          </w:p>
        </w:tc>
        <w:tc>
          <w:tcPr>
            <w:tcW w:w="1061" w:type="pct"/>
            <w:vAlign w:val="center"/>
          </w:tcPr>
          <w:p>
            <w:pPr>
              <w:jc w:val="center"/>
              <w:rPr>
                <w:rFonts w:ascii="宋体" w:hAnsi="宋体" w:cs="宋体"/>
              </w:rPr>
            </w:pPr>
          </w:p>
        </w:tc>
        <w:tc>
          <w:tcPr>
            <w:tcW w:w="1149" w:type="pct"/>
          </w:tcPr>
          <w:p>
            <w:pPr>
              <w:jc w:val="left"/>
              <w:rPr>
                <w:rFonts w:ascii="宋体" w:hAnsi="宋体" w:cs="宋体"/>
              </w:rPr>
            </w:pPr>
          </w:p>
        </w:tc>
        <w:tc>
          <w:tcPr>
            <w:tcW w:w="641" w:type="pct"/>
            <w:vAlign w:val="center"/>
          </w:tcPr>
          <w:p>
            <w:pPr>
              <w:jc w:val="center"/>
              <w:rPr>
                <w:rFonts w:ascii="宋体" w:hAnsi="宋体" w:cs="宋体"/>
              </w:rPr>
            </w:pPr>
          </w:p>
        </w:tc>
        <w:tc>
          <w:tcPr>
            <w:tcW w:w="515" w:type="pct"/>
            <w:vAlign w:val="center"/>
          </w:tcPr>
          <w:p>
            <w:pPr>
              <w:jc w:val="center"/>
              <w:rPr>
                <w:rFonts w:ascii="宋体" w:hAnsi="宋体" w:cs="宋体"/>
              </w:rPr>
            </w:pPr>
          </w:p>
        </w:tc>
        <w:tc>
          <w:tcPr>
            <w:tcW w:w="515" w:type="pct"/>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5000" w:type="pct"/>
            <w:gridSpan w:val="7"/>
            <w:vAlign w:val="center"/>
          </w:tcPr>
          <w:p>
            <w:pPr>
              <w:rPr>
                <w:rFonts w:ascii="宋体" w:hAnsi="宋体" w:cs="宋体"/>
              </w:rPr>
            </w:pPr>
            <w:r>
              <w:rPr>
                <w:rFonts w:hint="eastAsia" w:ascii="宋体" w:hAnsi="宋体" w:cs="宋体"/>
              </w:rPr>
              <w:t>总价：XX万元（小写：XX元、大写：XX）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5000" w:type="pct"/>
            <w:gridSpan w:val="7"/>
            <w:tcBorders>
              <w:bottom w:val="single" w:color="auto" w:sz="4" w:space="0"/>
            </w:tcBorders>
            <w:vAlign w:val="center"/>
          </w:tcPr>
          <w:p>
            <w:pPr>
              <w:pStyle w:val="9"/>
              <w:ind w:left="0" w:leftChars="0"/>
              <w:rPr>
                <w:rFonts w:ascii="宋体" w:hAnsi="宋体" w:cs="宋体"/>
                <w:sz w:val="21"/>
                <w:szCs w:val="24"/>
              </w:rPr>
            </w:pPr>
            <w:r>
              <w:rPr>
                <w:rFonts w:ascii="宋体" w:hAnsi="宋体" w:cs="宋体"/>
                <w:sz w:val="21"/>
                <w:szCs w:val="24"/>
              </w:rPr>
              <w:t xml:space="preserve">备注： </w:t>
            </w:r>
          </w:p>
        </w:tc>
      </w:tr>
    </w:tbl>
    <w:p>
      <w:pPr>
        <w:ind w:firstLine="420"/>
        <w:rPr>
          <w:rFonts w:ascii="宋体" w:hAnsi="宋体" w:cs="宋体"/>
        </w:rPr>
      </w:pPr>
    </w:p>
    <w:p>
      <w:pPr>
        <w:ind w:firstLine="420"/>
        <w:rPr>
          <w:rFonts w:ascii="宋体" w:hAnsi="宋体" w:cs="宋体"/>
          <w:b/>
        </w:rPr>
      </w:pPr>
      <w:r>
        <w:rPr>
          <w:rFonts w:hint="eastAsia" w:ascii="宋体" w:hAnsi="宋体" w:cs="宋体"/>
          <w:b/>
        </w:rPr>
        <w:t>详细参数见附件</w:t>
      </w:r>
    </w:p>
    <w:p>
      <w:pPr>
        <w:ind w:firstLine="420"/>
        <w:rPr>
          <w:rFonts w:ascii="华文中宋" w:hAnsi="华文中宋" w:eastAsia="华文中宋"/>
          <w:color w:val="000000"/>
        </w:rPr>
      </w:pPr>
    </w:p>
    <w:p>
      <w:pPr>
        <w:ind w:firstLine="420"/>
        <w:rPr>
          <w:rFonts w:ascii="华文中宋" w:hAnsi="华文中宋" w:eastAsia="华文中宋"/>
          <w:color w:val="000000"/>
        </w:rPr>
      </w:pPr>
    </w:p>
    <w:p>
      <w:pPr>
        <w:pStyle w:val="49"/>
        <w:rPr>
          <w:rFonts w:ascii="华文中宋" w:hAnsi="华文中宋" w:eastAsia="华文中宋"/>
          <w:b/>
          <w:szCs w:val="24"/>
        </w:rPr>
      </w:pPr>
      <w:r>
        <w:rPr>
          <w:rFonts w:hint="eastAsia" w:ascii="宋体" w:hAnsi="宋体" w:eastAsia="宋体" w:cs="宋体"/>
          <w:szCs w:val="24"/>
        </w:rPr>
        <w:t>二、工期</w:t>
      </w:r>
    </w:p>
    <w:p>
      <w:pPr>
        <w:pStyle w:val="50"/>
        <w:spacing w:line="240" w:lineRule="auto"/>
        <w:ind w:left="0" w:firstLine="450" w:firstLineChars="200"/>
        <w:rPr>
          <w:rFonts w:ascii="华文中宋" w:hAnsi="华文中宋" w:eastAsia="华文中宋"/>
          <w:color w:val="000000" w:themeColor="text1"/>
          <w:szCs w:val="24"/>
        </w:rPr>
      </w:pPr>
      <w:r>
        <w:rPr>
          <w:rFonts w:hint="eastAsia" w:ascii="宋体" w:hAnsi="宋体" w:eastAsia="宋体" w:cs="宋体"/>
          <w:color w:val="000000" w:themeColor="text1"/>
          <w:szCs w:val="24"/>
        </w:rPr>
        <w:t>合同签订后    天内完成实施</w:t>
      </w:r>
      <w:r>
        <w:rPr>
          <w:rFonts w:hint="eastAsia" w:ascii="华文中宋" w:hAnsi="华文中宋" w:eastAsia="华文中宋"/>
          <w:color w:val="000000" w:themeColor="text1"/>
          <w:szCs w:val="24"/>
        </w:rPr>
        <w:t>。</w:t>
      </w:r>
      <w:r>
        <w:rPr>
          <w:rFonts w:hint="eastAsia" w:ascii="华文中宋" w:hAnsi="华文中宋" w:eastAsia="华文中宋"/>
          <w:color w:val="000000" w:themeColor="text1"/>
          <w:szCs w:val="24"/>
        </w:rPr>
        <w:br w:type="textWrapping"/>
      </w:r>
    </w:p>
    <w:p>
      <w:pPr>
        <w:pStyle w:val="48"/>
        <w:rPr>
          <w:rFonts w:ascii="宋体" w:hAnsi="宋体" w:cs="宋体"/>
          <w:sz w:val="24"/>
          <w:szCs w:val="24"/>
        </w:rPr>
      </w:pPr>
      <w:r>
        <w:rPr>
          <w:rFonts w:hint="eastAsia" w:ascii="宋体" w:hAnsi="宋体" w:cs="宋体"/>
          <w:sz w:val="24"/>
          <w:szCs w:val="24"/>
        </w:rPr>
        <w:t>三、原厂质保期</w:t>
      </w:r>
    </w:p>
    <w:p>
      <w:pPr>
        <w:pStyle w:val="48"/>
        <w:rPr>
          <w:rFonts w:ascii="宋体" w:hAnsi="宋体" w:cs="宋体"/>
          <w:sz w:val="24"/>
          <w:szCs w:val="24"/>
        </w:rPr>
      </w:pPr>
    </w:p>
    <w:p>
      <w:pPr>
        <w:pStyle w:val="48"/>
        <w:ind w:firstLine="563" w:firstLineChars="250"/>
        <w:rPr>
          <w:rFonts w:ascii="宋体" w:hAnsi="宋体" w:cs="宋体"/>
          <w:sz w:val="24"/>
          <w:szCs w:val="24"/>
        </w:rPr>
      </w:pPr>
      <w:r>
        <w:rPr>
          <w:rFonts w:hint="eastAsia" w:ascii="宋体" w:hAnsi="宋体" w:cs="宋体"/>
          <w:sz w:val="24"/>
          <w:szCs w:val="24"/>
        </w:rPr>
        <w:t>提供X年质保。</w:t>
      </w:r>
    </w:p>
    <w:p>
      <w:pPr>
        <w:pStyle w:val="48"/>
        <w:ind w:firstLine="450" w:firstLineChars="200"/>
        <w:rPr>
          <w:rFonts w:ascii="宋体" w:hAnsi="宋体" w:cs="宋体"/>
          <w:color w:val="FF0000"/>
          <w:kern w:val="0"/>
          <w:sz w:val="24"/>
          <w:szCs w:val="24"/>
        </w:rPr>
      </w:pPr>
    </w:p>
    <w:p>
      <w:pPr>
        <w:pStyle w:val="50"/>
        <w:spacing w:line="240" w:lineRule="auto"/>
        <w:ind w:left="0"/>
        <w:rPr>
          <w:rFonts w:ascii="华文中宋" w:hAnsi="华文中宋" w:eastAsia="华文中宋"/>
          <w:b/>
          <w:szCs w:val="24"/>
        </w:rPr>
      </w:pPr>
      <w:r>
        <w:rPr>
          <w:rFonts w:hint="eastAsia" w:ascii="宋体" w:hAnsi="宋体" w:eastAsia="宋体" w:cs="宋体"/>
          <w:szCs w:val="24"/>
        </w:rPr>
        <w:t>四、验收</w:t>
      </w:r>
    </w:p>
    <w:p>
      <w:pPr>
        <w:pStyle w:val="50"/>
        <w:widowControl w:val="0"/>
        <w:tabs>
          <w:tab w:val="left" w:pos="840"/>
        </w:tabs>
        <w:spacing w:after="0" w:line="240" w:lineRule="auto"/>
        <w:ind w:left="840"/>
        <w:jc w:val="both"/>
        <w:rPr>
          <w:rFonts w:ascii="华文中宋" w:hAnsi="华文中宋" w:eastAsia="华文中宋"/>
          <w:szCs w:val="24"/>
        </w:rPr>
      </w:pPr>
      <w:r>
        <w:rPr>
          <w:rFonts w:hint="eastAsia" w:ascii="宋体" w:hAnsi="宋体" w:eastAsia="宋体" w:cs="宋体"/>
          <w:szCs w:val="24"/>
        </w:rPr>
        <w:t>产品稳定运行</w:t>
      </w:r>
      <w:r>
        <w:rPr>
          <w:rFonts w:hint="eastAsia" w:ascii="宋体" w:hAnsi="宋体" w:eastAsia="宋体" w:cs="宋体"/>
          <w:szCs w:val="24"/>
          <w:u w:val="single"/>
        </w:rPr>
        <w:t>10</w:t>
      </w:r>
      <w:r>
        <w:rPr>
          <w:rFonts w:hint="eastAsia" w:ascii="宋体" w:hAnsi="宋体" w:eastAsia="宋体" w:cs="宋体"/>
          <w:szCs w:val="24"/>
        </w:rPr>
        <w:t>日后甲方组织相关人员进行验收</w:t>
      </w:r>
      <w:r>
        <w:rPr>
          <w:rFonts w:hint="eastAsia" w:ascii="Malgun Gothic Semilight" w:hAnsi="Malgun Gothic Semilight" w:eastAsia="Malgun Gothic Semilight" w:cs="Malgun Gothic Semilight"/>
          <w:szCs w:val="24"/>
        </w:rPr>
        <w:t>，</w:t>
      </w:r>
      <w:r>
        <w:rPr>
          <w:rFonts w:hint="eastAsia" w:ascii="宋体" w:hAnsi="宋体" w:eastAsia="宋体" w:cs="宋体"/>
          <w:szCs w:val="24"/>
        </w:rPr>
        <w:t>验收报告由甲方签字，乙方需出具相关硬件技术资料、文档给甲方</w:t>
      </w:r>
      <w:r>
        <w:rPr>
          <w:rFonts w:hint="eastAsia" w:ascii="华文中宋" w:hAnsi="华文中宋" w:eastAsia="华文中宋"/>
          <w:szCs w:val="24"/>
        </w:rPr>
        <w:t>。</w:t>
      </w:r>
    </w:p>
    <w:p>
      <w:pPr>
        <w:pStyle w:val="50"/>
        <w:spacing w:line="240" w:lineRule="auto"/>
        <w:ind w:left="0"/>
        <w:rPr>
          <w:rFonts w:ascii="宋体" w:hAnsi="宋体" w:eastAsia="宋体" w:cs="宋体"/>
          <w:szCs w:val="24"/>
        </w:rPr>
      </w:pPr>
    </w:p>
    <w:p>
      <w:pPr>
        <w:pStyle w:val="50"/>
        <w:spacing w:line="240" w:lineRule="auto"/>
        <w:ind w:left="0"/>
        <w:rPr>
          <w:rFonts w:ascii="华文中宋" w:hAnsi="华文中宋" w:eastAsia="华文中宋"/>
          <w:szCs w:val="24"/>
        </w:rPr>
      </w:pPr>
      <w:r>
        <w:rPr>
          <w:rFonts w:hint="eastAsia" w:ascii="宋体" w:hAnsi="宋体" w:eastAsia="宋体" w:cs="宋体"/>
          <w:szCs w:val="24"/>
        </w:rPr>
        <w:t>五、付款方式</w:t>
      </w:r>
    </w:p>
    <w:p>
      <w:pPr>
        <w:pStyle w:val="50"/>
        <w:spacing w:line="240" w:lineRule="auto"/>
        <w:ind w:left="0" w:firstLine="450" w:firstLineChars="200"/>
        <w:rPr>
          <w:rFonts w:ascii="宋体" w:hAnsi="宋体" w:eastAsia="宋体" w:cs="宋体"/>
          <w:szCs w:val="24"/>
        </w:rPr>
      </w:pPr>
      <w:r>
        <w:rPr>
          <w:rFonts w:hint="eastAsia" w:ascii="宋体" w:hAnsi="宋体" w:eastAsia="宋体" w:cs="宋体"/>
          <w:szCs w:val="24"/>
        </w:rPr>
        <w:t>甲方验收合格后2个月内，依据验收表和发票，付合同总金额95%，质保期满后付剩余5%。</w:t>
      </w:r>
    </w:p>
    <w:p>
      <w:pPr>
        <w:pStyle w:val="50"/>
        <w:spacing w:line="240" w:lineRule="auto"/>
        <w:ind w:left="0"/>
        <w:rPr>
          <w:rFonts w:ascii="宋体" w:hAnsi="宋体" w:eastAsia="宋体" w:cs="宋体"/>
        </w:rPr>
      </w:pPr>
    </w:p>
    <w:p>
      <w:pPr>
        <w:pStyle w:val="50"/>
        <w:spacing w:line="240" w:lineRule="auto"/>
        <w:ind w:left="0"/>
        <w:rPr>
          <w:rFonts w:ascii="华文中宋" w:hAnsi="华文中宋" w:eastAsia="华文中宋"/>
        </w:rPr>
      </w:pPr>
      <w:r>
        <w:rPr>
          <w:rFonts w:hint="eastAsia" w:ascii="宋体" w:hAnsi="宋体" w:eastAsia="宋体" w:cs="宋体"/>
        </w:rPr>
        <w:t>六、售后服务</w:t>
      </w:r>
    </w:p>
    <w:p>
      <w:pPr>
        <w:pStyle w:val="50"/>
        <w:spacing w:line="360" w:lineRule="auto"/>
        <w:ind w:left="195" w:leftChars="100" w:firstLine="480"/>
        <w:rPr>
          <w:rFonts w:ascii="宋体" w:hAnsi="宋体" w:eastAsia="宋体" w:cs="宋体"/>
          <w:szCs w:val="24"/>
        </w:rPr>
      </w:pPr>
    </w:p>
    <w:p>
      <w:pPr>
        <w:rPr>
          <w:rFonts w:ascii="宋体" w:hAnsi="宋体" w:cs="宋体"/>
          <w:color w:val="000000"/>
          <w:kern w:val="0"/>
          <w:sz w:val="24"/>
        </w:rPr>
      </w:pPr>
      <w:r>
        <w:rPr>
          <w:rFonts w:hint="eastAsia" w:ascii="宋体" w:hAnsi="宋体" w:cs="宋体"/>
          <w:color w:val="000000"/>
          <w:kern w:val="0"/>
          <w:sz w:val="24"/>
        </w:rPr>
        <w:t>七、双方的权利义务：（乙方可根据实际情况增加内容）</w:t>
      </w:r>
    </w:p>
    <w:p>
      <w:pPr>
        <w:tabs>
          <w:tab w:val="left" w:pos="4620"/>
        </w:tabs>
        <w:ind w:firstLine="390" w:firstLineChars="200"/>
        <w:rPr>
          <w:rFonts w:ascii="华文中宋" w:hAnsi="华文中宋" w:eastAsia="华文中宋"/>
        </w:rPr>
      </w:pPr>
    </w:p>
    <w:p>
      <w:pPr>
        <w:pStyle w:val="50"/>
        <w:spacing w:line="240" w:lineRule="auto"/>
        <w:ind w:left="0"/>
        <w:rPr>
          <w:rFonts w:ascii="华文中宋" w:hAnsi="华文中宋" w:eastAsia="华文中宋"/>
          <w:szCs w:val="24"/>
        </w:rPr>
      </w:pPr>
      <w:r>
        <w:rPr>
          <w:rFonts w:hint="eastAsia" w:ascii="宋体" w:hAnsi="宋体" w:eastAsia="宋体" w:cs="宋体"/>
          <w:szCs w:val="24"/>
        </w:rPr>
        <w:t>八、违约责任</w:t>
      </w:r>
      <w:r>
        <w:rPr>
          <w:rFonts w:hint="eastAsia" w:ascii="华文中宋" w:hAnsi="华文中宋" w:eastAsia="华文中宋"/>
          <w:szCs w:val="24"/>
        </w:rPr>
        <w:tab/>
      </w:r>
    </w:p>
    <w:p>
      <w:pPr>
        <w:pStyle w:val="50"/>
        <w:spacing w:line="240" w:lineRule="auto"/>
        <w:ind w:left="0" w:firstLine="450" w:firstLineChars="200"/>
        <w:rPr>
          <w:rFonts w:ascii="华文中宋" w:hAnsi="华文中宋" w:eastAsia="华文中宋"/>
          <w:szCs w:val="24"/>
        </w:rPr>
      </w:pPr>
      <w:r>
        <w:rPr>
          <w:rFonts w:hint="eastAsia" w:ascii="宋体" w:hAnsi="宋体" w:eastAsia="宋体" w:cs="宋体"/>
          <w:szCs w:val="24"/>
        </w:rPr>
        <w:t>本合同生效后</w:t>
      </w:r>
      <w:r>
        <w:rPr>
          <w:rFonts w:hint="eastAsia" w:ascii="Malgun Gothic Semilight" w:hAnsi="Malgun Gothic Semilight" w:eastAsia="Malgun Gothic Semilight" w:cs="Malgun Gothic Semilight"/>
          <w:szCs w:val="24"/>
        </w:rPr>
        <w:t>，</w:t>
      </w:r>
      <w:r>
        <w:rPr>
          <w:rFonts w:hint="eastAsia" w:ascii="宋体" w:hAnsi="宋体" w:eastAsia="宋体" w:cs="宋体"/>
          <w:szCs w:val="24"/>
        </w:rPr>
        <w:t>除不可抗外力影响</w:t>
      </w:r>
      <w:r>
        <w:rPr>
          <w:rFonts w:hint="eastAsia" w:ascii="Malgun Gothic Semilight" w:hAnsi="Malgun Gothic Semilight" w:eastAsia="Malgun Gothic Semilight" w:cs="Malgun Gothic Semilight"/>
          <w:szCs w:val="24"/>
        </w:rPr>
        <w:t>，</w:t>
      </w:r>
      <w:r>
        <w:rPr>
          <w:rFonts w:hint="eastAsia" w:ascii="宋体" w:hAnsi="宋体" w:eastAsia="宋体" w:cs="宋体"/>
          <w:szCs w:val="24"/>
        </w:rPr>
        <w:t>双方均不得以任意理由终止合同</w:t>
      </w:r>
      <w:r>
        <w:rPr>
          <w:rFonts w:hint="eastAsia" w:ascii="Malgun Gothic Semilight" w:hAnsi="Malgun Gothic Semilight" w:eastAsia="Malgun Gothic Semilight" w:cs="Malgun Gothic Semilight"/>
          <w:szCs w:val="24"/>
        </w:rPr>
        <w:t>。</w:t>
      </w:r>
      <w:r>
        <w:rPr>
          <w:rFonts w:hint="eastAsia" w:ascii="宋体" w:hAnsi="宋体" w:eastAsia="宋体" w:cs="宋体"/>
          <w:szCs w:val="24"/>
        </w:rPr>
        <w:t>如单方违约</w:t>
      </w:r>
      <w:r>
        <w:rPr>
          <w:rFonts w:hint="eastAsia" w:ascii="Malgun Gothic Semilight" w:hAnsi="Malgun Gothic Semilight" w:eastAsia="Malgun Gothic Semilight" w:cs="Malgun Gothic Semilight"/>
          <w:szCs w:val="24"/>
        </w:rPr>
        <w:t>，</w:t>
      </w:r>
      <w:r>
        <w:rPr>
          <w:rFonts w:hint="eastAsia" w:ascii="宋体" w:hAnsi="宋体" w:eastAsia="宋体" w:cs="宋体"/>
          <w:szCs w:val="24"/>
        </w:rPr>
        <w:t>违约方应承担违约金为本合同的</w:t>
      </w:r>
      <w:r>
        <w:rPr>
          <w:rFonts w:hint="eastAsia" w:ascii="华文中宋" w:hAnsi="华文中宋" w:eastAsia="华文中宋"/>
          <w:szCs w:val="24"/>
        </w:rPr>
        <w:t>20%。</w:t>
      </w:r>
    </w:p>
    <w:p>
      <w:pPr>
        <w:pStyle w:val="50"/>
        <w:spacing w:line="240" w:lineRule="auto"/>
        <w:ind w:left="0" w:firstLine="450" w:firstLineChars="200"/>
        <w:rPr>
          <w:rFonts w:ascii="华文中宋" w:hAnsi="华文中宋" w:eastAsia="华文中宋"/>
          <w:szCs w:val="24"/>
        </w:rPr>
      </w:pPr>
    </w:p>
    <w:p>
      <w:pPr>
        <w:pStyle w:val="50"/>
        <w:spacing w:line="240" w:lineRule="auto"/>
        <w:ind w:left="0"/>
        <w:rPr>
          <w:rFonts w:ascii="华文中宋" w:hAnsi="华文中宋" w:eastAsia="华文中宋"/>
          <w:szCs w:val="24"/>
        </w:rPr>
      </w:pPr>
      <w:r>
        <w:rPr>
          <w:rFonts w:hint="eastAsia" w:ascii="宋体" w:hAnsi="宋体" w:eastAsia="宋体" w:cs="宋体"/>
          <w:szCs w:val="24"/>
        </w:rPr>
        <w:t>九、合同争议解决方式</w:t>
      </w:r>
    </w:p>
    <w:p>
      <w:pPr>
        <w:pStyle w:val="50"/>
        <w:spacing w:line="240" w:lineRule="auto"/>
        <w:ind w:left="0" w:firstLine="450" w:firstLineChars="200"/>
        <w:rPr>
          <w:rFonts w:ascii="华文中宋" w:hAnsi="华文中宋" w:eastAsia="华文中宋"/>
          <w:szCs w:val="24"/>
        </w:rPr>
      </w:pPr>
      <w:r>
        <w:rPr>
          <w:rFonts w:hint="eastAsia" w:ascii="宋体" w:hAnsi="宋体" w:eastAsia="宋体" w:cs="宋体"/>
          <w:szCs w:val="24"/>
        </w:rPr>
        <w:t>在合同履行期间</w:t>
      </w:r>
      <w:r>
        <w:rPr>
          <w:rFonts w:hint="eastAsia" w:ascii="Malgun Gothic Semilight" w:hAnsi="Malgun Gothic Semilight" w:eastAsia="Malgun Gothic Semilight" w:cs="Malgun Gothic Semilight"/>
          <w:szCs w:val="24"/>
        </w:rPr>
        <w:t>，</w:t>
      </w:r>
      <w:r>
        <w:rPr>
          <w:rFonts w:hint="eastAsia" w:ascii="宋体" w:hAnsi="宋体" w:eastAsia="宋体" w:cs="宋体"/>
          <w:szCs w:val="24"/>
        </w:rPr>
        <w:t>如发生争议</w:t>
      </w:r>
      <w:r>
        <w:rPr>
          <w:rFonts w:hint="eastAsia" w:ascii="Malgun Gothic Semilight" w:hAnsi="Malgun Gothic Semilight" w:eastAsia="Malgun Gothic Semilight" w:cs="Malgun Gothic Semilight"/>
          <w:szCs w:val="24"/>
        </w:rPr>
        <w:t>，</w:t>
      </w:r>
      <w:r>
        <w:rPr>
          <w:rFonts w:hint="eastAsia" w:ascii="宋体" w:hAnsi="宋体" w:eastAsia="宋体" w:cs="宋体"/>
          <w:szCs w:val="24"/>
        </w:rPr>
        <w:t>双方协商解决</w:t>
      </w:r>
      <w:r>
        <w:rPr>
          <w:rFonts w:hint="eastAsia" w:ascii="Malgun Gothic Semilight" w:hAnsi="Malgun Gothic Semilight" w:eastAsia="Malgun Gothic Semilight" w:cs="Malgun Gothic Semilight"/>
          <w:szCs w:val="24"/>
        </w:rPr>
        <w:t>，</w:t>
      </w:r>
      <w:r>
        <w:rPr>
          <w:rFonts w:hint="eastAsia" w:ascii="宋体" w:hAnsi="宋体" w:eastAsia="宋体" w:cs="宋体"/>
          <w:szCs w:val="24"/>
        </w:rPr>
        <w:t>协商不成的</w:t>
      </w:r>
      <w:r>
        <w:rPr>
          <w:rFonts w:hint="eastAsia" w:ascii="Malgun Gothic Semilight" w:hAnsi="Malgun Gothic Semilight" w:eastAsia="Malgun Gothic Semilight" w:cs="Malgun Gothic Semilight"/>
          <w:szCs w:val="24"/>
        </w:rPr>
        <w:t>，</w:t>
      </w:r>
      <w:r>
        <w:rPr>
          <w:rFonts w:hint="eastAsia" w:ascii="宋体" w:hAnsi="宋体" w:eastAsia="宋体" w:cs="宋体"/>
          <w:szCs w:val="24"/>
        </w:rPr>
        <w:t>可向甲方项目所在地人民法院提起诉讼</w:t>
      </w:r>
      <w:r>
        <w:rPr>
          <w:rFonts w:hint="eastAsia" w:ascii="Malgun Gothic Semilight" w:hAnsi="Malgun Gothic Semilight" w:eastAsia="Malgun Gothic Semilight" w:cs="Malgun Gothic Semilight"/>
          <w:szCs w:val="24"/>
        </w:rPr>
        <w:t>。</w:t>
      </w:r>
    </w:p>
    <w:p>
      <w:pPr>
        <w:pStyle w:val="50"/>
        <w:spacing w:line="240" w:lineRule="auto"/>
        <w:ind w:left="0"/>
        <w:rPr>
          <w:rFonts w:ascii="华文中宋" w:hAnsi="华文中宋" w:eastAsia="华文中宋"/>
          <w:szCs w:val="24"/>
        </w:rPr>
      </w:pPr>
    </w:p>
    <w:p>
      <w:pPr>
        <w:pStyle w:val="50"/>
        <w:spacing w:line="240" w:lineRule="auto"/>
        <w:ind w:left="0"/>
        <w:rPr>
          <w:rFonts w:ascii="华文中宋" w:hAnsi="华文中宋" w:eastAsia="华文中宋"/>
          <w:szCs w:val="24"/>
        </w:rPr>
      </w:pPr>
      <w:r>
        <w:rPr>
          <w:rFonts w:hint="eastAsia" w:ascii="宋体" w:hAnsi="宋体" w:eastAsia="宋体" w:cs="宋体"/>
          <w:szCs w:val="24"/>
        </w:rPr>
        <w:t>十、合同组成与生效</w:t>
      </w:r>
    </w:p>
    <w:p>
      <w:pPr>
        <w:pStyle w:val="50"/>
        <w:spacing w:line="240" w:lineRule="auto"/>
        <w:ind w:left="0" w:firstLine="450" w:firstLineChars="200"/>
        <w:rPr>
          <w:rFonts w:ascii="Malgun Gothic Semilight" w:hAnsi="Malgun Gothic Semilight" w:eastAsia="Malgun Gothic Semilight" w:cs="Malgun Gothic Semilight"/>
          <w:szCs w:val="24"/>
        </w:rPr>
      </w:pPr>
      <w:r>
        <w:rPr>
          <w:rFonts w:hint="eastAsia" w:ascii="宋体" w:hAnsi="宋体" w:eastAsia="宋体" w:cs="宋体"/>
          <w:szCs w:val="24"/>
        </w:rPr>
        <w:t>本合同壹式肆份</w:t>
      </w:r>
      <w:r>
        <w:rPr>
          <w:rFonts w:hint="eastAsia" w:ascii="Malgun Gothic Semilight" w:hAnsi="Malgun Gothic Semilight" w:eastAsia="Malgun Gothic Semilight" w:cs="Malgun Gothic Semilight"/>
          <w:szCs w:val="24"/>
        </w:rPr>
        <w:t>，</w:t>
      </w:r>
      <w:r>
        <w:rPr>
          <w:rFonts w:hint="eastAsia" w:ascii="宋体" w:hAnsi="宋体" w:eastAsia="宋体" w:cs="宋体"/>
          <w:szCs w:val="24"/>
        </w:rPr>
        <w:t>甲方执叁份</w:t>
      </w:r>
      <w:r>
        <w:rPr>
          <w:rFonts w:hint="eastAsia" w:ascii="Malgun Gothic Semilight" w:hAnsi="Malgun Gothic Semilight" w:eastAsia="Malgun Gothic Semilight" w:cs="Malgun Gothic Semilight"/>
          <w:szCs w:val="24"/>
        </w:rPr>
        <w:t>，</w:t>
      </w:r>
      <w:r>
        <w:rPr>
          <w:rFonts w:hint="eastAsia" w:ascii="宋体" w:hAnsi="宋体" w:eastAsia="宋体" w:cs="宋体"/>
          <w:szCs w:val="24"/>
        </w:rPr>
        <w:t>乙方执壹份</w:t>
      </w:r>
      <w:r>
        <w:rPr>
          <w:rFonts w:hint="eastAsia" w:ascii="Malgun Gothic Semilight" w:hAnsi="Malgun Gothic Semilight" w:eastAsia="Malgun Gothic Semilight" w:cs="Malgun Gothic Semilight"/>
          <w:szCs w:val="24"/>
        </w:rPr>
        <w:t>，</w:t>
      </w:r>
      <w:r>
        <w:rPr>
          <w:rFonts w:hint="eastAsia" w:ascii="宋体" w:hAnsi="宋体" w:eastAsia="宋体" w:cs="宋体"/>
          <w:szCs w:val="24"/>
        </w:rPr>
        <w:t>签字并加盖合同章</w:t>
      </w:r>
      <w:r>
        <w:rPr>
          <w:rFonts w:ascii="宋体" w:hAnsi="宋体" w:eastAsia="宋体" w:cs="宋体"/>
          <w:szCs w:val="24"/>
        </w:rPr>
        <w:t>或</w:t>
      </w:r>
      <w:r>
        <w:rPr>
          <w:rFonts w:hint="eastAsia" w:ascii="宋体" w:hAnsi="宋体" w:eastAsia="宋体" w:cs="宋体"/>
          <w:szCs w:val="24"/>
        </w:rPr>
        <w:t>公章后生效</w:t>
      </w:r>
      <w:r>
        <w:rPr>
          <w:rFonts w:hint="eastAsia" w:ascii="Malgun Gothic Semilight" w:hAnsi="Malgun Gothic Semilight" w:eastAsia="Malgun Gothic Semilight" w:cs="Malgun Gothic Semilight"/>
          <w:szCs w:val="24"/>
        </w:rPr>
        <w:t>，</w:t>
      </w:r>
      <w:r>
        <w:rPr>
          <w:rFonts w:hint="eastAsia" w:ascii="宋体" w:hAnsi="宋体" w:eastAsia="宋体" w:cs="宋体"/>
          <w:szCs w:val="24"/>
        </w:rPr>
        <w:t>希共同遵照执行</w:t>
      </w:r>
      <w:r>
        <w:rPr>
          <w:rFonts w:hint="eastAsia" w:ascii="Malgun Gothic Semilight" w:hAnsi="Malgun Gothic Semilight" w:eastAsia="Malgun Gothic Semilight" w:cs="Malgun Gothic Semilight"/>
          <w:szCs w:val="24"/>
        </w:rPr>
        <w:t>。</w:t>
      </w:r>
      <w:r>
        <w:rPr>
          <w:rFonts w:hint="eastAsia" w:ascii="宋体" w:hAnsi="宋体" w:eastAsia="宋体" w:cs="宋体"/>
          <w:szCs w:val="24"/>
        </w:rPr>
        <w:t>招标</w:t>
      </w:r>
      <w:r>
        <w:rPr>
          <w:rFonts w:hint="eastAsia" w:ascii="Malgun Gothic Semilight" w:hAnsi="Malgun Gothic Semilight" w:eastAsia="Malgun Gothic Semilight" w:cs="Malgun Gothic Semilight"/>
          <w:szCs w:val="24"/>
        </w:rPr>
        <w:t>、</w:t>
      </w:r>
      <w:r>
        <w:rPr>
          <w:rFonts w:hint="eastAsia" w:ascii="宋体" w:hAnsi="宋体" w:eastAsia="宋体" w:cs="宋体"/>
          <w:szCs w:val="24"/>
        </w:rPr>
        <w:t>投标文件及其补遗文件和承诺是本合同不可分割的部分</w:t>
      </w:r>
      <w:r>
        <w:rPr>
          <w:rFonts w:hint="eastAsia" w:ascii="Malgun Gothic Semilight" w:hAnsi="Malgun Gothic Semilight" w:eastAsia="Malgun Gothic Semilight" w:cs="Malgun Gothic Semilight"/>
          <w:szCs w:val="24"/>
        </w:rPr>
        <w:t>，</w:t>
      </w:r>
      <w:r>
        <w:rPr>
          <w:rFonts w:hint="eastAsia" w:ascii="宋体" w:hAnsi="宋体" w:eastAsia="宋体" w:cs="宋体"/>
          <w:szCs w:val="24"/>
        </w:rPr>
        <w:t>具有同等法律效力</w:t>
      </w:r>
      <w:r>
        <w:rPr>
          <w:rFonts w:hint="eastAsia" w:ascii="Malgun Gothic Semilight" w:hAnsi="Malgun Gothic Semilight" w:eastAsia="Malgun Gothic Semilight" w:cs="Malgun Gothic Semilight"/>
          <w:szCs w:val="24"/>
        </w:rPr>
        <w:t>。</w:t>
      </w:r>
    </w:p>
    <w:p>
      <w:pPr>
        <w:pStyle w:val="50"/>
        <w:spacing w:line="240" w:lineRule="auto"/>
        <w:ind w:left="0" w:firstLine="450" w:firstLineChars="200"/>
        <w:rPr>
          <w:rFonts w:ascii="Malgun Gothic Semilight" w:hAnsi="Malgun Gothic Semilight" w:eastAsia="Malgun Gothic Semilight" w:cs="Malgun Gothic Semilight"/>
          <w:szCs w:val="24"/>
        </w:rPr>
      </w:pPr>
    </w:p>
    <w:p>
      <w:pPr>
        <w:pStyle w:val="50"/>
        <w:spacing w:line="240" w:lineRule="auto"/>
        <w:ind w:left="0" w:firstLine="450" w:firstLineChars="200"/>
        <w:rPr>
          <w:rFonts w:ascii="Malgun Gothic Semilight" w:hAnsi="Malgun Gothic Semilight" w:eastAsia="Malgun Gothic Semilight" w:cs="Malgun Gothic Semilight"/>
          <w:szCs w:val="24"/>
        </w:rPr>
      </w:pPr>
    </w:p>
    <w:p>
      <w:pPr>
        <w:pStyle w:val="50"/>
        <w:spacing w:line="240" w:lineRule="auto"/>
        <w:ind w:left="0" w:firstLine="450" w:firstLineChars="200"/>
        <w:rPr>
          <w:rFonts w:ascii="Malgun Gothic Semilight" w:hAnsi="Malgun Gothic Semilight" w:eastAsia="Malgun Gothic Semilight" w:cs="Malgun Gothic Semilight"/>
          <w:szCs w:val="24"/>
        </w:rPr>
      </w:pPr>
    </w:p>
    <w:p>
      <w:pPr>
        <w:pStyle w:val="50"/>
        <w:spacing w:line="240" w:lineRule="auto"/>
        <w:ind w:left="0" w:firstLine="450" w:firstLineChars="200"/>
        <w:rPr>
          <w:rFonts w:hint="eastAsia" w:ascii="Malgun Gothic Semilight" w:hAnsi="Malgun Gothic Semilight" w:eastAsia="Malgun Gothic Semilight" w:cs="Malgun Gothic Semilight"/>
          <w:szCs w:val="24"/>
        </w:rPr>
      </w:pPr>
    </w:p>
    <w:p>
      <w:pPr>
        <w:pStyle w:val="50"/>
        <w:spacing w:line="240" w:lineRule="auto"/>
        <w:ind w:left="0" w:firstLine="450" w:firstLineChars="200"/>
        <w:rPr>
          <w:rFonts w:ascii="Malgun Gothic Semilight" w:hAnsi="Malgun Gothic Semilight" w:eastAsia="Malgun Gothic Semilight" w:cs="Malgun Gothic Semilight"/>
          <w:szCs w:val="24"/>
        </w:rPr>
      </w:pPr>
    </w:p>
    <w:p>
      <w:pPr>
        <w:pStyle w:val="50"/>
        <w:spacing w:line="240" w:lineRule="auto"/>
        <w:ind w:left="0" w:firstLine="450" w:firstLineChars="200"/>
        <w:rPr>
          <w:rFonts w:ascii="Malgun Gothic Semilight" w:hAnsi="Malgun Gothic Semilight" w:eastAsia="Malgun Gothic Semilight" w:cs="Malgun Gothic Semilight"/>
          <w:szCs w:val="24"/>
        </w:rPr>
      </w:pPr>
    </w:p>
    <w:tbl>
      <w:tblPr>
        <w:tblStyle w:val="18"/>
        <w:tblW w:w="9689" w:type="dxa"/>
        <w:tblInd w:w="0" w:type="dxa"/>
        <w:tblLayout w:type="fixed"/>
        <w:tblCellMar>
          <w:top w:w="0" w:type="dxa"/>
          <w:left w:w="108" w:type="dxa"/>
          <w:bottom w:w="0" w:type="dxa"/>
          <w:right w:w="108" w:type="dxa"/>
        </w:tblCellMar>
      </w:tblPr>
      <w:tblGrid>
        <w:gridCol w:w="4874"/>
        <w:gridCol w:w="4815"/>
      </w:tblGrid>
      <w:tr>
        <w:tblPrEx>
          <w:tblCellMar>
            <w:top w:w="0" w:type="dxa"/>
            <w:left w:w="108" w:type="dxa"/>
            <w:bottom w:w="0" w:type="dxa"/>
            <w:right w:w="108" w:type="dxa"/>
          </w:tblCellMar>
        </w:tblPrEx>
        <w:trPr>
          <w:trHeight w:val="719" w:hRule="atLeast"/>
        </w:trPr>
        <w:tc>
          <w:tcPr>
            <w:tcW w:w="4874" w:type="dxa"/>
          </w:tcPr>
          <w:p>
            <w:pPr>
              <w:spacing w:line="360" w:lineRule="auto"/>
              <w:rPr>
                <w:rFonts w:ascii="黑体" w:hAnsi="宋体" w:eastAsia="黑体"/>
                <w:b/>
                <w:szCs w:val="21"/>
              </w:rPr>
            </w:pPr>
            <w:r>
              <w:rPr>
                <w:rFonts w:hint="eastAsia" w:ascii="黑体" w:hAnsi="宋体" w:eastAsia="黑体"/>
                <w:b/>
                <w:szCs w:val="21"/>
              </w:rPr>
              <w:t>甲方：陆军军医大学第一附属医院</w:t>
            </w:r>
          </w:p>
          <w:p>
            <w:pPr>
              <w:spacing w:line="360" w:lineRule="auto"/>
              <w:ind w:firstLine="390" w:firstLineChars="200"/>
              <w:rPr>
                <w:rFonts w:ascii="黑体" w:hAnsi="宋体" w:eastAsia="黑体"/>
                <w:b/>
                <w:szCs w:val="21"/>
              </w:rPr>
            </w:pPr>
            <w:r>
              <w:rPr>
                <w:rFonts w:hint="eastAsia" w:ascii="黑体" w:hAnsi="宋体" w:eastAsia="黑体"/>
                <w:b/>
                <w:szCs w:val="21"/>
              </w:rPr>
              <w:t>（盖章）</w:t>
            </w:r>
          </w:p>
        </w:tc>
        <w:tc>
          <w:tcPr>
            <w:tcW w:w="4815" w:type="dxa"/>
          </w:tcPr>
          <w:p>
            <w:pPr>
              <w:spacing w:line="360" w:lineRule="atLeast"/>
              <w:ind w:firstLine="195" w:firstLineChars="100"/>
              <w:rPr>
                <w:rFonts w:ascii="黑体" w:hAnsi="宋体" w:eastAsia="黑体"/>
                <w:b/>
                <w:szCs w:val="21"/>
              </w:rPr>
            </w:pPr>
            <w:r>
              <w:rPr>
                <w:rFonts w:hint="eastAsia" w:ascii="黑体" w:hAnsi="宋体" w:eastAsia="黑体"/>
                <w:b/>
                <w:szCs w:val="21"/>
              </w:rPr>
              <w:t>乙方：（盖章）</w:t>
            </w:r>
          </w:p>
        </w:tc>
      </w:tr>
      <w:tr>
        <w:tblPrEx>
          <w:tblCellMar>
            <w:top w:w="0" w:type="dxa"/>
            <w:left w:w="108" w:type="dxa"/>
            <w:bottom w:w="0" w:type="dxa"/>
            <w:right w:w="108" w:type="dxa"/>
          </w:tblCellMar>
        </w:tblPrEx>
        <w:trPr>
          <w:trHeight w:val="1438" w:hRule="atLeast"/>
        </w:trPr>
        <w:tc>
          <w:tcPr>
            <w:tcW w:w="4874" w:type="dxa"/>
          </w:tcPr>
          <w:p>
            <w:pPr>
              <w:spacing w:line="360" w:lineRule="auto"/>
              <w:rPr>
                <w:rFonts w:ascii="黑体" w:hAnsi="宋体" w:eastAsia="黑体"/>
                <w:b/>
                <w:szCs w:val="21"/>
              </w:rPr>
            </w:pPr>
            <w:r>
              <w:rPr>
                <w:rFonts w:hint="eastAsia" w:ascii="黑体" w:hAnsi="宋体" w:eastAsia="黑体"/>
                <w:b/>
                <w:szCs w:val="21"/>
              </w:rPr>
              <w:t>地址:重庆市沙坪坝区高滩岩正街30号</w:t>
            </w:r>
          </w:p>
          <w:p>
            <w:pPr>
              <w:spacing w:line="360" w:lineRule="auto"/>
              <w:rPr>
                <w:rFonts w:ascii="黑体" w:hAnsi="宋体" w:eastAsia="黑体"/>
                <w:b/>
                <w:szCs w:val="21"/>
              </w:rPr>
            </w:pPr>
          </w:p>
          <w:p>
            <w:pPr>
              <w:spacing w:line="360" w:lineRule="auto"/>
              <w:rPr>
                <w:rFonts w:ascii="黑体" w:hAnsi="宋体" w:eastAsia="黑体"/>
                <w:b/>
                <w:szCs w:val="21"/>
              </w:rPr>
            </w:pPr>
            <w:r>
              <w:rPr>
                <w:rFonts w:hint="eastAsia" w:ascii="黑体" w:hAnsi="宋体" w:eastAsia="黑体"/>
                <w:b/>
                <w:szCs w:val="21"/>
              </w:rPr>
              <w:t>开户银行：中国银行长江路支行</w:t>
            </w:r>
          </w:p>
          <w:p>
            <w:pPr>
              <w:spacing w:line="360" w:lineRule="auto"/>
              <w:rPr>
                <w:rFonts w:ascii="黑体" w:hAnsi="宋体" w:eastAsia="黑体"/>
                <w:b/>
                <w:szCs w:val="21"/>
              </w:rPr>
            </w:pPr>
          </w:p>
          <w:p>
            <w:pPr>
              <w:spacing w:line="360" w:lineRule="auto"/>
              <w:rPr>
                <w:rFonts w:ascii="黑体" w:hAnsi="宋体" w:eastAsia="黑体"/>
                <w:b/>
                <w:szCs w:val="21"/>
              </w:rPr>
            </w:pPr>
            <w:r>
              <w:rPr>
                <w:rFonts w:hint="eastAsia" w:ascii="黑体" w:hAnsi="宋体" w:eastAsia="黑体"/>
                <w:b/>
                <w:szCs w:val="21"/>
              </w:rPr>
              <w:t>账号：113007546980</w:t>
            </w:r>
          </w:p>
          <w:p>
            <w:pPr>
              <w:spacing w:line="360" w:lineRule="auto"/>
              <w:rPr>
                <w:rFonts w:ascii="黑体" w:hAnsi="宋体" w:eastAsia="黑体"/>
                <w:b/>
                <w:szCs w:val="21"/>
              </w:rPr>
            </w:pPr>
          </w:p>
          <w:p>
            <w:pPr>
              <w:spacing w:line="360" w:lineRule="auto"/>
              <w:rPr>
                <w:rFonts w:ascii="黑体" w:hAnsi="宋体" w:eastAsia="黑体"/>
                <w:b/>
                <w:szCs w:val="21"/>
              </w:rPr>
            </w:pPr>
            <w:r>
              <w:rPr>
                <w:rFonts w:hint="eastAsia" w:ascii="黑体" w:hAnsi="宋体" w:eastAsia="黑体"/>
                <w:b/>
                <w:szCs w:val="21"/>
              </w:rPr>
              <w:t>法定代表人：</w:t>
            </w:r>
          </w:p>
          <w:p>
            <w:pPr>
              <w:spacing w:line="360" w:lineRule="auto"/>
              <w:rPr>
                <w:rFonts w:ascii="黑体" w:hAnsi="宋体" w:eastAsia="黑体"/>
                <w:b/>
                <w:szCs w:val="21"/>
              </w:rPr>
            </w:pPr>
          </w:p>
          <w:p>
            <w:pPr>
              <w:spacing w:line="360" w:lineRule="auto"/>
              <w:rPr>
                <w:rFonts w:ascii="黑体" w:hAnsi="宋体" w:eastAsia="黑体"/>
                <w:b/>
                <w:szCs w:val="21"/>
              </w:rPr>
            </w:pPr>
            <w:r>
              <w:rPr>
                <w:rFonts w:hint="eastAsia" w:ascii="黑体" w:hAnsi="宋体" w:eastAsia="黑体"/>
                <w:b/>
                <w:szCs w:val="21"/>
              </w:rPr>
              <w:t xml:space="preserve">法人委托代理人：  </w:t>
            </w:r>
          </w:p>
        </w:tc>
        <w:tc>
          <w:tcPr>
            <w:tcW w:w="4815" w:type="dxa"/>
          </w:tcPr>
          <w:p>
            <w:pPr>
              <w:spacing w:line="360" w:lineRule="auto"/>
              <w:ind w:left="195" w:leftChars="100"/>
              <w:rPr>
                <w:rFonts w:ascii="黑体" w:hAnsi="宋体" w:eastAsia="黑体"/>
                <w:b/>
                <w:szCs w:val="21"/>
              </w:rPr>
            </w:pPr>
            <w:r>
              <w:rPr>
                <w:rFonts w:hint="eastAsia" w:ascii="黑体" w:hAnsi="宋体" w:eastAsia="黑体"/>
                <w:b/>
                <w:szCs w:val="21"/>
              </w:rPr>
              <w:t>地址：</w:t>
            </w:r>
            <w:r>
              <w:rPr>
                <w:rFonts w:ascii="黑体" w:hAnsi="宋体" w:eastAsia="黑体"/>
                <w:b/>
                <w:color w:val="FF0000"/>
                <w:szCs w:val="21"/>
              </w:rPr>
              <w:t xml:space="preserve"> </w:t>
            </w:r>
          </w:p>
          <w:p>
            <w:pPr>
              <w:spacing w:line="360" w:lineRule="auto"/>
              <w:ind w:left="195" w:leftChars="100"/>
              <w:rPr>
                <w:rFonts w:ascii="黑体" w:hAnsi="宋体" w:eastAsia="黑体"/>
                <w:b/>
                <w:szCs w:val="21"/>
              </w:rPr>
            </w:pPr>
          </w:p>
          <w:p>
            <w:pPr>
              <w:spacing w:line="360" w:lineRule="auto"/>
              <w:ind w:left="195" w:leftChars="100"/>
              <w:rPr>
                <w:rFonts w:ascii="黑体" w:hAnsi="宋体" w:eastAsia="黑体"/>
                <w:b/>
                <w:szCs w:val="21"/>
              </w:rPr>
            </w:pPr>
            <w:r>
              <w:rPr>
                <w:rFonts w:hint="eastAsia" w:ascii="黑体" w:hAnsi="宋体" w:eastAsia="黑体"/>
                <w:b/>
                <w:szCs w:val="21"/>
              </w:rPr>
              <w:t>开户银行：</w:t>
            </w:r>
            <w:r>
              <w:rPr>
                <w:rFonts w:ascii="黑体" w:hAnsi="宋体" w:eastAsia="黑体"/>
                <w:b/>
                <w:szCs w:val="21"/>
              </w:rPr>
              <w:t xml:space="preserve"> </w:t>
            </w:r>
          </w:p>
          <w:p>
            <w:pPr>
              <w:spacing w:line="360" w:lineRule="auto"/>
              <w:ind w:firstLine="195" w:firstLineChars="100"/>
              <w:rPr>
                <w:rFonts w:ascii="黑体" w:hAnsi="宋体" w:eastAsia="黑体"/>
                <w:b/>
                <w:szCs w:val="21"/>
              </w:rPr>
            </w:pPr>
          </w:p>
          <w:p>
            <w:pPr>
              <w:spacing w:line="360" w:lineRule="auto"/>
              <w:ind w:firstLine="195" w:firstLineChars="100"/>
              <w:rPr>
                <w:rFonts w:ascii="黑体" w:hAnsi="宋体" w:eastAsia="黑体"/>
                <w:b/>
                <w:szCs w:val="21"/>
              </w:rPr>
            </w:pPr>
            <w:r>
              <w:rPr>
                <w:rFonts w:hint="eastAsia" w:ascii="黑体" w:hAnsi="宋体" w:eastAsia="黑体"/>
                <w:b/>
                <w:szCs w:val="21"/>
              </w:rPr>
              <w:t>账号</w:t>
            </w:r>
          </w:p>
          <w:p>
            <w:pPr>
              <w:spacing w:line="360" w:lineRule="auto"/>
              <w:rPr>
                <w:rFonts w:ascii="黑体" w:hAnsi="宋体" w:eastAsia="黑体"/>
                <w:b/>
                <w:szCs w:val="21"/>
              </w:rPr>
            </w:pPr>
          </w:p>
          <w:p>
            <w:pPr>
              <w:spacing w:line="360" w:lineRule="auto"/>
              <w:ind w:firstLine="195" w:firstLineChars="100"/>
              <w:rPr>
                <w:rFonts w:ascii="黑体" w:hAnsi="宋体" w:eastAsia="黑体"/>
                <w:b/>
                <w:szCs w:val="21"/>
              </w:rPr>
            </w:pPr>
            <w:r>
              <w:rPr>
                <w:rFonts w:hint="eastAsia" w:ascii="黑体" w:hAnsi="宋体" w:eastAsia="黑体"/>
                <w:b/>
                <w:szCs w:val="21"/>
              </w:rPr>
              <w:t>法定代表人：</w:t>
            </w:r>
          </w:p>
          <w:p>
            <w:pPr>
              <w:spacing w:line="360" w:lineRule="auto"/>
              <w:rPr>
                <w:rFonts w:ascii="黑体" w:hAnsi="宋体" w:eastAsia="黑体"/>
                <w:b/>
                <w:szCs w:val="21"/>
              </w:rPr>
            </w:pPr>
          </w:p>
          <w:p>
            <w:pPr>
              <w:spacing w:line="360" w:lineRule="auto"/>
              <w:ind w:firstLine="195" w:firstLineChars="100"/>
              <w:rPr>
                <w:rFonts w:ascii="黑体" w:hAnsi="宋体" w:eastAsia="黑体"/>
                <w:b/>
                <w:szCs w:val="21"/>
              </w:rPr>
            </w:pPr>
            <w:r>
              <w:rPr>
                <w:rFonts w:hint="eastAsia" w:ascii="黑体" w:hAnsi="宋体" w:eastAsia="黑体"/>
                <w:b/>
                <w:szCs w:val="21"/>
              </w:rPr>
              <w:t>委托代理人：</w:t>
            </w:r>
          </w:p>
        </w:tc>
      </w:tr>
      <w:tr>
        <w:tblPrEx>
          <w:tblCellMar>
            <w:top w:w="0" w:type="dxa"/>
            <w:left w:w="108" w:type="dxa"/>
            <w:bottom w:w="0" w:type="dxa"/>
            <w:right w:w="108" w:type="dxa"/>
          </w:tblCellMar>
        </w:tblPrEx>
        <w:trPr>
          <w:trHeight w:val="719" w:hRule="atLeast"/>
        </w:trPr>
        <w:tc>
          <w:tcPr>
            <w:tcW w:w="4874" w:type="dxa"/>
          </w:tcPr>
          <w:p>
            <w:pPr>
              <w:spacing w:line="360" w:lineRule="auto"/>
              <w:rPr>
                <w:rFonts w:ascii="黑体" w:hAnsi="宋体" w:eastAsia="黑体"/>
                <w:b/>
                <w:szCs w:val="21"/>
              </w:rPr>
            </w:pPr>
          </w:p>
        </w:tc>
        <w:tc>
          <w:tcPr>
            <w:tcW w:w="4815" w:type="dxa"/>
          </w:tcPr>
          <w:p>
            <w:pPr>
              <w:spacing w:line="360" w:lineRule="auto"/>
              <w:ind w:left="975" w:leftChars="150" w:hanging="683" w:hangingChars="350"/>
              <w:rPr>
                <w:rFonts w:ascii="黑体" w:hAnsi="宋体" w:eastAsia="黑体"/>
                <w:b/>
                <w:szCs w:val="21"/>
              </w:rPr>
            </w:pPr>
          </w:p>
        </w:tc>
      </w:tr>
      <w:tr>
        <w:tblPrEx>
          <w:tblCellMar>
            <w:top w:w="0" w:type="dxa"/>
            <w:left w:w="108" w:type="dxa"/>
            <w:bottom w:w="0" w:type="dxa"/>
            <w:right w:w="108" w:type="dxa"/>
          </w:tblCellMar>
        </w:tblPrEx>
        <w:trPr>
          <w:trHeight w:val="359" w:hRule="atLeast"/>
        </w:trPr>
        <w:tc>
          <w:tcPr>
            <w:tcW w:w="4874" w:type="dxa"/>
          </w:tcPr>
          <w:p>
            <w:pPr>
              <w:spacing w:line="360" w:lineRule="auto"/>
              <w:rPr>
                <w:rFonts w:ascii="黑体" w:hAnsi="宋体" w:eastAsia="黑体"/>
                <w:b/>
                <w:szCs w:val="21"/>
              </w:rPr>
            </w:pPr>
            <w:r>
              <w:rPr>
                <w:rFonts w:hint="eastAsia" w:ascii="黑体" w:hAnsi="宋体" w:eastAsia="黑体"/>
                <w:b/>
                <w:szCs w:val="21"/>
              </w:rPr>
              <w:t>电话：023-68766150</w:t>
            </w:r>
          </w:p>
        </w:tc>
        <w:tc>
          <w:tcPr>
            <w:tcW w:w="4815" w:type="dxa"/>
          </w:tcPr>
          <w:p>
            <w:pPr>
              <w:spacing w:line="360" w:lineRule="auto"/>
              <w:ind w:firstLine="195" w:firstLineChars="100"/>
              <w:rPr>
                <w:rFonts w:ascii="黑体" w:hAnsi="宋体" w:eastAsia="黑体"/>
                <w:b/>
                <w:szCs w:val="21"/>
              </w:rPr>
            </w:pPr>
            <w:r>
              <w:rPr>
                <w:rFonts w:hint="eastAsia" w:ascii="黑体" w:hAnsi="宋体" w:eastAsia="黑体"/>
                <w:b/>
                <w:szCs w:val="21"/>
              </w:rPr>
              <w:t>电话：</w:t>
            </w:r>
          </w:p>
        </w:tc>
      </w:tr>
    </w:tbl>
    <w:p>
      <w:pPr>
        <w:adjustRightInd w:val="0"/>
        <w:snapToGrid w:val="0"/>
        <w:jc w:val="cente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1906" w:h="16838"/>
          <w:pgMar w:top="1134" w:right="1021" w:bottom="1134" w:left="567"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9" w:name="_Toc285612604"/>
      <w:bookmarkStart w:id="20" w:name="_Toc435540982"/>
      <w:bookmarkStart w:id="21" w:name="_Toc240432233"/>
      <w:bookmarkStart w:id="22" w:name="_Toc390713970"/>
      <w:bookmarkStart w:id="23" w:name="_Toc37172691"/>
      <w:bookmarkStart w:id="24" w:name="_Toc41986765"/>
      <w:r>
        <w:rPr>
          <w:rFonts w:hint="eastAsia" w:ascii="黑体" w:hAnsi="黑体" w:eastAsia="黑体" w:cs="Times New Roman"/>
          <w:kern w:val="0"/>
          <w:sz w:val="32"/>
          <w:szCs w:val="32"/>
        </w:rPr>
        <w:t>第五部分  附件/报价文件格式</w:t>
      </w:r>
      <w:bookmarkEnd w:id="19"/>
      <w:bookmarkEnd w:id="20"/>
      <w:bookmarkEnd w:id="21"/>
      <w:bookmarkEnd w:id="22"/>
      <w:bookmarkEnd w:id="23"/>
      <w:bookmarkEnd w:id="24"/>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附件9：报价方售后服务承诺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附件11：近3年成交案例及同类项目案例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附件18：生产企业对代理公司参与报价的授权书</w:t>
      </w:r>
    </w:p>
    <w:p>
      <w:pPr>
        <w:ind w:firstLine="571" w:firstLineChars="196"/>
        <w:jc w:val="left"/>
        <w:rPr>
          <w:rFonts w:ascii="黑体" w:hAnsi="黑体" w:eastAsia="黑体" w:cs="Times New Roman"/>
          <w:kern w:val="0"/>
          <w:sz w:val="32"/>
          <w:szCs w:val="32"/>
        </w:rPr>
      </w:pPr>
      <w:r>
        <w:rPr>
          <w:rFonts w:hint="eastAsia" w:cs="Times New Roman" w:asciiTheme="majorEastAsia" w:hAnsiTheme="majorEastAsia" w:eastAsiaTheme="majorEastAsia"/>
          <w:kern w:val="0"/>
          <w:sz w:val="30"/>
          <w:szCs w:val="30"/>
        </w:rPr>
        <w:t>附件19：技术指标参数要求明细</w:t>
      </w:r>
    </w:p>
    <w:p>
      <w:pPr>
        <w:ind w:firstLine="582" w:firstLineChars="200"/>
        <w:rPr>
          <w:rFonts w:cs="Times New Roman" w:asciiTheme="majorEastAsia" w:hAnsiTheme="majorEastAsia" w:eastAsiaTheme="majorEastAsia"/>
          <w:kern w:val="0"/>
          <w:sz w:val="30"/>
          <w:szCs w:val="30"/>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spacing w:line="560" w:lineRule="exact"/>
        <w:jc w:val="center"/>
        <w:rPr>
          <w:rFonts w:ascii="方正小标宋简体" w:hAnsi="Times New Roman" w:eastAsia="方正小标宋简体" w:cs="Times New Roman"/>
          <w:kern w:val="0"/>
          <w:sz w:val="30"/>
          <w:szCs w:val="30"/>
        </w:rPr>
      </w:pPr>
      <w:r>
        <w:rPr>
          <w:rFonts w:hint="eastAsia" w:ascii="方正小标宋简体" w:hAnsi="Times New Roman" w:eastAsia="方正小标宋简体" w:cs="Times New Roman"/>
          <w:kern w:val="0"/>
          <w:sz w:val="30"/>
          <w:szCs w:val="30"/>
        </w:rPr>
        <w:t>报  价  函</w:t>
      </w:r>
    </w:p>
    <w:p>
      <w:pPr>
        <w:spacing w:line="400" w:lineRule="exact"/>
        <w:rPr>
          <w:rFonts w:ascii="仿宋_GB2312" w:hAnsi="Times New Roman" w:eastAsia="仿宋_GB2312" w:cs="Times New Roman"/>
          <w:kern w:val="0"/>
          <w:sz w:val="32"/>
          <w:szCs w:val="32"/>
        </w:rPr>
      </w:pPr>
    </w:p>
    <w:p>
      <w:pPr>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竞争性谈判采购活动，并对</w:t>
      </w:r>
      <w:r>
        <w:rPr>
          <w:rFonts w:hint="eastAsia" w:cs="Times New Roman" w:asciiTheme="minorEastAsia" w:hAnsiTheme="minorEastAsia"/>
          <w:kern w:val="0"/>
          <w:sz w:val="28"/>
          <w:szCs w:val="28"/>
          <w:u w:val="single"/>
        </w:rPr>
        <w:t>（包号或货物名称）</w:t>
      </w:r>
      <w:r>
        <w:rPr>
          <w:rFonts w:hint="eastAsia" w:cs="Times New Roman" w:asciiTheme="minorEastAsia" w:hAnsiTheme="minorEastAsia"/>
          <w:kern w:val="0"/>
          <w:sz w:val="28"/>
          <w:szCs w:val="28"/>
        </w:rPr>
        <w:t>进行报价。</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一、按照谈判文件规定提交</w:t>
      </w:r>
      <w:r>
        <w:rPr>
          <w:rFonts w:hint="eastAsia" w:cs="Times New Roman" w:asciiTheme="minorEastAsia" w:hAnsiTheme="minorEastAsia"/>
          <w:kern w:val="0"/>
          <w:sz w:val="28"/>
          <w:szCs w:val="28"/>
          <w:lang w:val="zh-CN"/>
        </w:rPr>
        <w:t>报价文件正本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份和副本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w:t>
      </w:r>
      <w:r>
        <w:rPr>
          <w:rFonts w:hint="eastAsia" w:cs="Times New Roman" w:asciiTheme="minorEastAsia" w:hAnsiTheme="minorEastAsia"/>
          <w:kern w:val="0"/>
          <w:sz w:val="28"/>
          <w:szCs w:val="28"/>
          <w:lang w:val="zh-CN"/>
        </w:rPr>
        <w:t>我方已完全理解谈判文件的全部内容，自愿接受并执行谈判文件的全部条款</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三、本报价文件</w:t>
      </w:r>
      <w:r>
        <w:rPr>
          <w:rFonts w:hint="eastAsia" w:cs="Times New Roman" w:asciiTheme="minorEastAsia" w:hAnsiTheme="minorEastAsia"/>
          <w:kern w:val="0"/>
          <w:sz w:val="28"/>
          <w:szCs w:val="28"/>
          <w:lang w:val="zh-CN"/>
        </w:rPr>
        <w:t>有效期自报价截止之日起180日内有效</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Times New Roman" w:asciiTheme="minorEastAsia" w:hAnsiTheme="minorEastAsia"/>
          <w:kern w:val="0"/>
          <w:sz w:val="28"/>
          <w:szCs w:val="28"/>
        </w:rPr>
        <w:t>四、</w:t>
      </w:r>
      <w:r>
        <w:rPr>
          <w:rFonts w:hint="eastAsia" w:cs="宋体" w:asciiTheme="minorEastAsia" w:hAnsiTheme="minorEastAsia"/>
          <w:snapToGrid w:val="0"/>
          <w:kern w:val="0"/>
          <w:sz w:val="28"/>
          <w:szCs w:val="28"/>
          <w:lang w:val="zh-CN"/>
        </w:rPr>
        <w:t>我方在参与谈判前已仔细研究了谈判文件和所有相关资料，同意谈判文件的相关条款。</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宋体" w:asciiTheme="minorEastAsia" w:hAnsiTheme="minor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宋体" w:asciiTheme="minorEastAsia" w:hAnsiTheme="minorEastAsia"/>
          <w:snapToGrid w:val="0"/>
          <w:kern w:val="0"/>
          <w:sz w:val="28"/>
          <w:szCs w:val="28"/>
          <w:lang w:val="zh-CN"/>
        </w:rPr>
        <w:t>六、</w:t>
      </w:r>
      <w:r>
        <w:rPr>
          <w:rFonts w:hint="eastAsia" w:cs="Times New Roman" w:asciiTheme="minorEastAsia" w:hAnsiTheme="minorEastAsia"/>
          <w:kern w:val="0"/>
          <w:sz w:val="28"/>
          <w:szCs w:val="28"/>
        </w:rPr>
        <w:t>我方承诺自愿遵守、执行国家、军队相关采购管理法规制度及政策规定。</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spacing w:line="440" w:lineRule="exact"/>
        <w:ind w:firstLine="1328" w:firstLineChars="490"/>
        <w:rPr>
          <w:rFonts w:cs="Times New Roman" w:asciiTheme="minorEastAsia" w:hAnsiTheme="minorEastAsia"/>
          <w:kern w:val="0"/>
          <w:sz w:val="28"/>
          <w:szCs w:val="28"/>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p>
      <w:pPr>
        <w:rPr>
          <w:rFonts w:ascii="Times New Roman" w:hAnsi="Times New Roman" w:eastAsia="宋体" w:cs="Times New Roman"/>
          <w:kern w:val="0"/>
          <w:sz w:val="28"/>
          <w:szCs w:val="28"/>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项目名称：</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项目编号：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包号：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金额单位：元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ind w:firstLine="120" w:firstLineChars="50"/>
              <w:rPr>
                <w:rFonts w:ascii="宋体" w:hAnsi="宋体" w:eastAsia="宋体" w:cs="Times New Roman"/>
                <w:b/>
                <w:kern w:val="0"/>
                <w:sz w:val="24"/>
                <w:szCs w:val="24"/>
              </w:rPr>
            </w:pPr>
            <w:r>
              <w:rPr>
                <w:rFonts w:hint="eastAsia" w:ascii="宋体" w:hAnsi="宋体" w:eastAsia="宋体" w:cs="Times New Roman"/>
                <w:kern w:val="0"/>
                <w:sz w:val="24"/>
                <w:szCs w:val="24"/>
              </w:rPr>
              <w:t>货物总金额（大写人民币）</w:t>
            </w:r>
            <w:r>
              <w:rPr>
                <w:rFonts w:hint="eastAsia" w:ascii="宋体" w:hAnsi="宋体" w:eastAsia="宋体" w:cs="Times New Roman"/>
                <w:bCs/>
                <w:spacing w:val="-4"/>
                <w:kern w:val="0"/>
                <w:sz w:val="24"/>
                <w:szCs w:val="24"/>
              </w:rPr>
              <w:t>：</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说明：总价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jc w:val="left"/>
        <w:rPr>
          <w:rFonts w:ascii="Times New Roman" w:hAnsi="Times New Roman" w:eastAsia="宋体" w:cs="Times New Roman"/>
          <w:kern w:val="0"/>
          <w:sz w:val="28"/>
          <w:szCs w:val="28"/>
        </w:rPr>
      </w:pP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包号：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bookmarkStart w:id="25" w:name="_Toc285612606"/>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bookmarkEnd w:id="25"/>
    <w:p>
      <w:pPr>
        <w:tabs>
          <w:tab w:val="left" w:pos="0"/>
        </w:tabs>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color w:val="auto"/>
          <w:kern w:val="0"/>
          <w:sz w:val="32"/>
          <w:szCs w:val="32"/>
        </w:rPr>
        <w:t>货物简</w:t>
      </w:r>
      <w:r>
        <w:rPr>
          <w:rFonts w:hint="eastAsia" w:ascii="方正小标宋简体" w:hAnsi="Times New Roman" w:eastAsia="方正小标宋简体" w:cs="Times New Roman"/>
          <w:kern w:val="0"/>
          <w:sz w:val="32"/>
          <w:szCs w:val="32"/>
        </w:rPr>
        <w:t>要说明一览表</w:t>
      </w:r>
    </w:p>
    <w:p>
      <w:pPr>
        <w:autoSpaceDE w:val="0"/>
        <w:autoSpaceDN w:val="0"/>
        <w:adjustRightInd w:val="0"/>
        <w:rPr>
          <w:rFonts w:ascii="华文中宋" w:hAnsi="华文中宋" w:eastAsia="华文中宋" w:cs="宋体"/>
          <w:kern w:val="0"/>
          <w:sz w:val="24"/>
          <w:szCs w:val="24"/>
          <w:lang w:val="zh-CN"/>
        </w:rPr>
      </w:pPr>
      <w:r>
        <w:rPr>
          <w:rFonts w:hint="eastAsia" w:ascii="宋体" w:hAnsi="宋体" w:eastAsia="宋体" w:cs="宋体"/>
          <w:kern w:val="0"/>
          <w:sz w:val="24"/>
          <w:szCs w:val="24"/>
        </w:rPr>
        <w:t xml:space="preserve">项目名称：                       项目编号：                     包号：   </w:t>
      </w:r>
    </w:p>
    <w:tbl>
      <w:tblPr>
        <w:tblStyle w:val="18"/>
        <w:tblW w:w="5000" w:type="pct"/>
        <w:jc w:val="center"/>
        <w:tblLayout w:type="autofit"/>
        <w:tblCellMar>
          <w:top w:w="0" w:type="dxa"/>
          <w:left w:w="0" w:type="dxa"/>
          <w:bottom w:w="0" w:type="dxa"/>
          <w:right w:w="0" w:type="dxa"/>
        </w:tblCellMar>
      </w:tblPr>
      <w:tblGrid>
        <w:gridCol w:w="648"/>
        <w:gridCol w:w="2666"/>
        <w:gridCol w:w="677"/>
        <w:gridCol w:w="1007"/>
        <w:gridCol w:w="2563"/>
        <w:gridCol w:w="1324"/>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666"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677"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1007"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2563"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spacing w:line="420" w:lineRule="exact"/>
        <w:ind w:right="539"/>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8"/>
        <w:tblW w:w="5000" w:type="pct"/>
        <w:jc w:val="center"/>
        <w:tblLayout w:type="autofit"/>
        <w:tblCellMar>
          <w:top w:w="0" w:type="dxa"/>
          <w:left w:w="108" w:type="dxa"/>
          <w:bottom w:w="0" w:type="dxa"/>
          <w:right w:w="108" w:type="dxa"/>
        </w:tblCellMar>
      </w:tblPr>
      <w:tblGrid>
        <w:gridCol w:w="812"/>
        <w:gridCol w:w="2939"/>
        <w:gridCol w:w="2470"/>
        <w:gridCol w:w="2840"/>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货物</w:t>
            </w:r>
            <w:r>
              <w:rPr>
                <w:rFonts w:ascii="宋体" w:hAnsi="宋体" w:eastAsia="宋体" w:cs="Times New Roman"/>
                <w:color w:val="auto"/>
                <w:kern w:val="0"/>
                <w:sz w:val="24"/>
                <w:szCs w:val="24"/>
              </w:rPr>
              <w:t>/</w:t>
            </w:r>
            <w:r>
              <w:rPr>
                <w:rFonts w:hint="eastAsia" w:ascii="宋体" w:hAnsi="宋体" w:eastAsia="宋体" w:cs="Times New Roman"/>
                <w:color w:val="auto"/>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color w:val="auto"/>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bookmarkStart w:id="26" w:name="_GoBack"/>
            <w:bookmarkEnd w:id="26"/>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报价方应对照谈判文件技术要求，逐条如实填写所报产品的具体指标参数，注明无偏离、正偏离或负偏离，并在备注中注明偏离的具体内容。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技术指标参数响应栏如果原文复制谈判文件技术要求，可能会被视为无效报价。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r>
        <w:rPr>
          <w:rFonts w:hint="eastAsia" w:ascii="宋体" w:hAnsi="宋体" w:eastAsia="宋体" w:cs="Times New Roman"/>
          <w:kern w:val="0"/>
          <w:sz w:val="24"/>
          <w:szCs w:val="24"/>
        </w:rPr>
        <w:t xml:space="preserve">  </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商务条款主要包括报价要求、售后服务、专利权和保密要求、交货时间、地点与方式、付款及结算方式等。如有遗漏，请报价方按照谈判文件正文自行补充完整。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请报价方认真填写本表内容，如填写错误将可能导致报价无效。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报价方售后服务承诺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报价方对照商务评审表中售后服务评审项自行编制，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w:t>
      </w:r>
      <w:r>
        <w:rPr>
          <w:rFonts w:hint="eastAsia" w:ascii="宋体" w:hAnsi="宋体" w:eastAsia="宋体" w:cs="Times New Roman"/>
          <w:sz w:val="28"/>
          <w:szCs w:val="28"/>
          <w:lang w:val="zh-CN"/>
        </w:rPr>
        <w:t>谈判</w:t>
      </w:r>
      <w:r>
        <w:rPr>
          <w:rFonts w:ascii="宋体" w:hAnsi="宋体" w:eastAsia="宋体" w:cs="Times New Roman"/>
          <w:sz w:val="28"/>
          <w:szCs w:val="28"/>
          <w:lang w:val="zh-CN"/>
        </w:rPr>
        <w:t>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8"/>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41"/>
        <w:gridCol w:w="977"/>
        <w:gridCol w:w="1820"/>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备注：1.同类项目指本次谈判的产品或同类产品。合同有效金额是指合同中本次谈判的产品或同类产品金额。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2.报价方应附销售合同复印件，按合同有效金额由高到低顺序装订，包括：合同首尾页、签字盖章页、合同金额页、产品信息页。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3.报价方提供虚假合同的，按虚假响应处理。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附件12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（报价方全称）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6131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6028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（报价方全称）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63360;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3.报价方应按照占全部股份比例从大到小依次逐个股东填写，股东数量多于10个的，填写前10名，不足10个的全部填写。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五、未经采购机构审查批准，不得擅自在互联网、通讯媒体等发表涉及此次采购项目相关内容或资讯。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违反上述承诺，愿承担一切法律责任，接受军队采购管理部门和采购机构按国家和军队规定作出的相关处罚。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内容自行填写，包括但不限于以下内容：</w:t>
      </w: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r>
        <w:rPr>
          <w:rFonts w:cs="Times New Roman" w:asciiTheme="minorEastAsia" w:hAnsiTheme="minorEastAsia"/>
          <w:snapToGrid w:val="0"/>
          <w:kern w:val="0"/>
          <w:sz w:val="28"/>
          <w:szCs w:val="28"/>
        </w:rPr>
        <w:t>①</w:t>
      </w:r>
      <w:r>
        <w:rPr>
          <w:rFonts w:hint="eastAsia" w:cs="Times New Roman" w:asciiTheme="minorEastAsia" w:hAnsiTheme="minorEastAsia"/>
          <w:snapToGrid w:val="0"/>
          <w:kern w:val="0"/>
          <w:sz w:val="28"/>
          <w:szCs w:val="28"/>
        </w:rPr>
        <w:t>非外资企业或外资控股企业书面声明；</w:t>
      </w:r>
    </w:p>
    <w:p>
      <w:pPr>
        <w:autoSpaceDE w:val="0"/>
        <w:autoSpaceDN w:val="0"/>
        <w:adjustRightInd w:val="0"/>
        <w:ind w:firstLine="266" w:firstLineChars="98"/>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②参加本次采购活动前5年内在经营活动中没有违法、违规、违约，以及项目质量和安全问题。</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附件18</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生产企业对代理公司参与报价的授权书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1、授权书的格式不限，但必须具有授权单位与授权人的公章/签章，授权销售区域，授权期限（起止日期）等主要内容。</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2、进口产品需提供原厂对中国总代的中英文授权，并提供中国总代至各级销售授权书。</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3、生产厂家直接参与报价的不需此文件。</w:t>
      </w:r>
    </w:p>
    <w:p>
      <w:pPr>
        <w:widowControl/>
        <w:jc w:val="left"/>
      </w:pPr>
      <w:r>
        <w:br w:type="page"/>
      </w:r>
    </w:p>
    <w:p>
      <w:pPr>
        <w:widowControl/>
        <w:jc w:val="left"/>
        <w:rPr>
          <w:rFonts w:ascii="黑体" w:hAnsi="黑体" w:eastAsia="黑体" w:cs="Times New Roman"/>
          <w:kern w:val="0"/>
          <w:sz w:val="32"/>
          <w:szCs w:val="32"/>
        </w:rPr>
        <w:sectPr>
          <w:headerReference r:id="rId12" w:type="default"/>
          <w:pgSz w:w="11907" w:h="16840"/>
          <w:pgMar w:top="2098" w:right="1474" w:bottom="1985" w:left="1588" w:header="851" w:footer="964" w:gutter="0"/>
          <w:cols w:space="720" w:num="1"/>
          <w:docGrid w:type="linesAndChars" w:linePitch="579" w:charSpace="-1844"/>
        </w:sectPr>
      </w:pPr>
    </w:p>
    <w:p>
      <w:pPr>
        <w:widowControl/>
        <w:jc w:val="left"/>
      </w:pPr>
      <w:r>
        <w:rPr>
          <w:rFonts w:hint="eastAsia" w:ascii="黑体" w:hAnsi="黑体" w:eastAsia="黑体" w:cs="Times New Roman"/>
          <w:kern w:val="0"/>
          <w:sz w:val="32"/>
          <w:szCs w:val="32"/>
        </w:rPr>
        <w:t xml:space="preserve">附件19   </w:t>
      </w:r>
    </w:p>
    <w:p>
      <w:pPr>
        <w:jc w:val="center"/>
        <w:rPr>
          <w:rFonts w:hint="eastAsia" w:ascii="黑体" w:hAnsi="黑体" w:eastAsia="黑体" w:cs="Times New Roman"/>
          <w:kern w:val="0"/>
          <w:sz w:val="32"/>
          <w:szCs w:val="32"/>
        </w:rPr>
      </w:pPr>
      <w:r>
        <w:rPr>
          <w:rFonts w:hint="eastAsia" w:ascii="黑体" w:hAnsi="黑体" w:eastAsia="黑体" w:cs="Times New Roman"/>
          <w:kern w:val="0"/>
          <w:sz w:val="32"/>
          <w:szCs w:val="32"/>
        </w:rPr>
        <w:t>技术指标参数要求明细</w:t>
      </w:r>
    </w:p>
    <w:p>
      <w:pPr>
        <w:adjustRightInd w:val="0"/>
        <w:snapToGrid w:val="0"/>
        <w:rPr>
          <w:rFonts w:cs="宋体" w:asciiTheme="minorEastAsia" w:hAnsiTheme="minorEastAsia"/>
          <w:szCs w:val="21"/>
        </w:rPr>
      </w:pPr>
      <w:r>
        <w:rPr>
          <w:rFonts w:hint="eastAsia" w:cs="宋体" w:asciiTheme="minorEastAsia" w:hAnsiTheme="minorEastAsia"/>
          <w:szCs w:val="21"/>
        </w:rPr>
        <w:t>一、招标内容一览表</w:t>
      </w:r>
    </w:p>
    <w:tbl>
      <w:tblPr>
        <w:tblStyle w:val="18"/>
        <w:tblpPr w:leftFromText="180" w:rightFromText="180" w:vertAnchor="text" w:horzAnchor="margin" w:tblpX="70" w:tblpY="152"/>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4735"/>
        <w:gridCol w:w="1325"/>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656"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序号</w:t>
            </w:r>
          </w:p>
        </w:tc>
        <w:tc>
          <w:tcPr>
            <w:tcW w:w="4735"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内容</w:t>
            </w:r>
          </w:p>
        </w:tc>
        <w:tc>
          <w:tcPr>
            <w:tcW w:w="1325"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数量</w:t>
            </w:r>
          </w:p>
        </w:tc>
        <w:tc>
          <w:tcPr>
            <w:tcW w:w="2106"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trPr>
        <w:tc>
          <w:tcPr>
            <w:tcW w:w="656" w:type="dxa"/>
            <w:vAlign w:val="center"/>
          </w:tcPr>
          <w:p>
            <w:pPr>
              <w:widowControl/>
              <w:topLinePunct/>
              <w:autoSpaceDE w:val="0"/>
              <w:adjustRightInd w:val="0"/>
              <w:spacing w:line="360" w:lineRule="auto"/>
              <w:jc w:val="center"/>
              <w:rPr>
                <w:rFonts w:cs="宋体" w:asciiTheme="minorEastAsia" w:hAnsiTheme="minorEastAsia"/>
                <w:szCs w:val="21"/>
              </w:rPr>
            </w:pPr>
            <w:r>
              <w:rPr>
                <w:rFonts w:hint="eastAsia" w:cs="宋体" w:asciiTheme="minorEastAsia" w:hAnsiTheme="minorEastAsia"/>
                <w:szCs w:val="21"/>
              </w:rPr>
              <w:t>1</w:t>
            </w:r>
          </w:p>
        </w:tc>
        <w:tc>
          <w:tcPr>
            <w:tcW w:w="4735" w:type="dxa"/>
            <w:vAlign w:val="center"/>
          </w:tcPr>
          <w:p>
            <w:pPr>
              <w:widowControl/>
              <w:topLinePunct/>
              <w:autoSpaceDE w:val="0"/>
              <w:adjustRightInd w:val="0"/>
              <w:spacing w:line="360" w:lineRule="auto"/>
              <w:jc w:val="left"/>
              <w:rPr>
                <w:rFonts w:cs="宋体" w:asciiTheme="minorEastAsia" w:hAnsiTheme="minorEastAsia"/>
                <w:szCs w:val="21"/>
              </w:rPr>
            </w:pPr>
            <w:r>
              <w:rPr>
                <w:rFonts w:hint="eastAsia" w:cs="宋体" w:asciiTheme="minorEastAsia" w:hAnsiTheme="minorEastAsia"/>
                <w:szCs w:val="21"/>
              </w:rPr>
              <w:t>康复数字化管理系统维护服务</w:t>
            </w:r>
          </w:p>
        </w:tc>
        <w:tc>
          <w:tcPr>
            <w:tcW w:w="1325" w:type="dxa"/>
            <w:vAlign w:val="center"/>
          </w:tcPr>
          <w:p>
            <w:pPr>
              <w:widowControl/>
              <w:topLinePunct/>
              <w:autoSpaceDE w:val="0"/>
              <w:adjustRightInd w:val="0"/>
              <w:spacing w:line="360" w:lineRule="auto"/>
              <w:jc w:val="center"/>
              <w:rPr>
                <w:rFonts w:cs="宋体" w:asciiTheme="minorEastAsia" w:hAnsiTheme="minorEastAsia"/>
                <w:szCs w:val="21"/>
              </w:rPr>
            </w:pPr>
            <w:r>
              <w:rPr>
                <w:rFonts w:hint="eastAsia" w:cs="宋体" w:asciiTheme="minorEastAsia" w:hAnsiTheme="minorEastAsia"/>
                <w:szCs w:val="21"/>
              </w:rPr>
              <w:t>1年</w:t>
            </w:r>
          </w:p>
        </w:tc>
        <w:tc>
          <w:tcPr>
            <w:tcW w:w="2106" w:type="dxa"/>
            <w:vAlign w:val="center"/>
          </w:tcPr>
          <w:p>
            <w:pPr>
              <w:widowControl/>
              <w:topLinePunct/>
              <w:autoSpaceDE w:val="0"/>
              <w:adjustRightInd w:val="0"/>
              <w:spacing w:line="360" w:lineRule="auto"/>
              <w:jc w:val="center"/>
              <w:rPr>
                <w:rFonts w:cs="宋体" w:asciiTheme="minorEastAsia" w:hAnsiTheme="minorEastAsia"/>
                <w:szCs w:val="21"/>
              </w:rPr>
            </w:pPr>
          </w:p>
        </w:tc>
      </w:tr>
    </w:tbl>
    <w:p>
      <w:pPr>
        <w:widowControl/>
        <w:topLinePunct/>
        <w:autoSpaceDE w:val="0"/>
        <w:adjustRightInd w:val="0"/>
        <w:spacing w:line="360" w:lineRule="auto"/>
        <w:jc w:val="left"/>
        <w:rPr>
          <w:rFonts w:cs="宋体" w:asciiTheme="minorEastAsia" w:hAnsiTheme="minorEastAsia"/>
          <w:szCs w:val="21"/>
        </w:rPr>
      </w:pPr>
      <w:r>
        <w:rPr>
          <w:rFonts w:hint="eastAsia" w:cs="宋体" w:asciiTheme="minorEastAsia" w:hAnsiTheme="minorEastAsia"/>
          <w:szCs w:val="21"/>
        </w:rPr>
        <w:t>二、项目总体要求</w:t>
      </w:r>
    </w:p>
    <w:tbl>
      <w:tblPr>
        <w:tblStyle w:val="53"/>
        <w:tblW w:w="8792" w:type="dxa"/>
        <w:tblInd w:w="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1810"/>
        <w:gridCol w:w="6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714" w:type="dxa"/>
            <w:tcBorders>
              <w:right w:val="single" w:color="auto" w:sz="4" w:space="0"/>
            </w:tcBorders>
            <w:vAlign w:val="center"/>
          </w:tcPr>
          <w:p>
            <w:pPr>
              <w:widowControl/>
              <w:topLinePunct/>
              <w:autoSpaceDE w:val="0"/>
              <w:adjustRightInd w:val="0"/>
              <w:spacing w:line="360" w:lineRule="auto"/>
              <w:jc w:val="center"/>
              <w:rPr>
                <w:rFonts w:cs="宋体" w:asciiTheme="minorEastAsia" w:hAnsiTheme="minorEastAsia" w:eastAsiaTheme="minorEastAsia"/>
                <w:b/>
                <w:kern w:val="0"/>
                <w:sz w:val="21"/>
                <w:szCs w:val="21"/>
                <w:lang w:val="es-AR" w:bidi="ne-NP"/>
              </w:rPr>
            </w:pPr>
            <w:r>
              <w:rPr>
                <w:rFonts w:hint="eastAsia" w:cs="宋体" w:asciiTheme="minorEastAsia" w:hAnsiTheme="minorEastAsia" w:eastAsiaTheme="minorEastAsia"/>
                <w:b/>
                <w:kern w:val="0"/>
                <w:sz w:val="21"/>
                <w:szCs w:val="21"/>
                <w:lang w:val="es-AR" w:bidi="ne-NP"/>
              </w:rPr>
              <w:t>序号</w:t>
            </w:r>
          </w:p>
        </w:tc>
        <w:tc>
          <w:tcPr>
            <w:tcW w:w="1810" w:type="dxa"/>
            <w:tcBorders>
              <w:left w:val="single" w:color="auto" w:sz="4" w:space="0"/>
            </w:tcBorders>
            <w:vAlign w:val="center"/>
          </w:tcPr>
          <w:p>
            <w:pPr>
              <w:widowControl/>
              <w:topLinePunct/>
              <w:autoSpaceDE w:val="0"/>
              <w:adjustRightInd w:val="0"/>
              <w:spacing w:line="360" w:lineRule="auto"/>
              <w:jc w:val="center"/>
              <w:rPr>
                <w:rFonts w:cs="宋体" w:asciiTheme="minorEastAsia" w:hAnsiTheme="minorEastAsia" w:eastAsiaTheme="minorEastAsia"/>
                <w:b/>
                <w:kern w:val="0"/>
                <w:sz w:val="21"/>
                <w:szCs w:val="21"/>
                <w:lang w:val="es-AR" w:bidi="ne-NP"/>
              </w:rPr>
            </w:pPr>
            <w:r>
              <w:rPr>
                <w:rFonts w:hint="eastAsia" w:cs="宋体" w:asciiTheme="minorEastAsia" w:hAnsiTheme="minorEastAsia" w:eastAsiaTheme="minorEastAsia"/>
                <w:b/>
                <w:kern w:val="0"/>
                <w:sz w:val="21"/>
                <w:szCs w:val="21"/>
                <w:lang w:val="es-AR" w:bidi="ne-NP"/>
              </w:rPr>
              <w:t>要求</w:t>
            </w:r>
          </w:p>
        </w:tc>
        <w:tc>
          <w:tcPr>
            <w:tcW w:w="6268" w:type="dxa"/>
            <w:vAlign w:val="bottom"/>
          </w:tcPr>
          <w:p>
            <w:pPr>
              <w:widowControl/>
              <w:topLinePunct/>
              <w:autoSpaceDE w:val="0"/>
              <w:adjustRightInd w:val="0"/>
              <w:spacing w:line="360" w:lineRule="auto"/>
              <w:jc w:val="left"/>
              <w:rPr>
                <w:rFonts w:cs="宋体" w:asciiTheme="minorEastAsia" w:hAnsiTheme="minorEastAsia" w:eastAsiaTheme="minorEastAsia"/>
                <w:b/>
                <w:kern w:val="0"/>
                <w:sz w:val="21"/>
                <w:szCs w:val="21"/>
                <w:lang w:val="es-AR" w:bidi="ne-NP"/>
              </w:rPr>
            </w:pPr>
            <w:r>
              <w:rPr>
                <w:rFonts w:hint="eastAsia" w:cs="宋体" w:asciiTheme="minorEastAsia" w:hAnsiTheme="minorEastAsia" w:eastAsiaTheme="minorEastAsia"/>
                <w:b/>
                <w:kern w:val="0"/>
                <w:sz w:val="21"/>
                <w:szCs w:val="21"/>
                <w:lang w:val="es-AR" w:bidi="ne-NP"/>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714" w:type="dxa"/>
            <w:tcBorders>
              <w:right w:val="single" w:color="auto" w:sz="4" w:space="0"/>
            </w:tcBorders>
            <w:vAlign w:val="center"/>
          </w:tcPr>
          <w:p>
            <w:pPr>
              <w:widowControl/>
              <w:topLinePunct/>
              <w:autoSpaceDE w:val="0"/>
              <w:adjustRightInd w:val="0"/>
              <w:spacing w:line="360" w:lineRule="auto"/>
              <w:jc w:val="center"/>
              <w:rPr>
                <w:rFonts w:cs="宋体" w:asciiTheme="minorEastAsia" w:hAnsiTheme="minorEastAsia" w:eastAsiaTheme="minorEastAsia"/>
                <w:kern w:val="0"/>
                <w:sz w:val="21"/>
                <w:szCs w:val="21"/>
                <w:lang w:val="es-AR"/>
              </w:rPr>
            </w:pPr>
            <w:r>
              <w:rPr>
                <w:rFonts w:hint="eastAsia" w:cs="宋体" w:asciiTheme="minorEastAsia" w:hAnsiTheme="minorEastAsia" w:eastAsiaTheme="minorEastAsia"/>
                <w:kern w:val="0"/>
                <w:sz w:val="21"/>
                <w:szCs w:val="21"/>
                <w:lang w:val="es-AR"/>
              </w:rPr>
              <w:t>1</w:t>
            </w:r>
          </w:p>
        </w:tc>
        <w:tc>
          <w:tcPr>
            <w:tcW w:w="1810" w:type="dxa"/>
            <w:tcBorders>
              <w:left w:val="single" w:color="auto" w:sz="4" w:space="0"/>
            </w:tcBorders>
            <w:vAlign w:val="center"/>
          </w:tcPr>
          <w:p>
            <w:pPr>
              <w:widowControl/>
              <w:topLinePunct/>
              <w:autoSpaceDE w:val="0"/>
              <w:adjustRightInd w:val="0"/>
              <w:jc w:val="center"/>
              <w:rPr>
                <w:rFonts w:cs="宋体" w:asciiTheme="minorEastAsia" w:hAnsiTheme="minorEastAsia" w:eastAsiaTheme="minorEastAsia"/>
                <w:kern w:val="0"/>
                <w:sz w:val="21"/>
                <w:szCs w:val="21"/>
                <w:lang w:val="zh-TW" w:eastAsia="zh-TW"/>
              </w:rPr>
            </w:pPr>
            <w:r>
              <w:rPr>
                <w:rFonts w:hint="eastAsia" w:cs="宋体" w:asciiTheme="minorEastAsia" w:hAnsiTheme="minorEastAsia" w:eastAsiaTheme="minorEastAsia"/>
                <w:kern w:val="0"/>
                <w:sz w:val="21"/>
                <w:szCs w:val="21"/>
                <w:lang w:val="zh-TW" w:eastAsia="zh-TW"/>
              </w:rPr>
              <w:t>质保</w:t>
            </w:r>
          </w:p>
        </w:tc>
        <w:tc>
          <w:tcPr>
            <w:tcW w:w="6268" w:type="dxa"/>
            <w:vAlign w:val="center"/>
          </w:tcPr>
          <w:p>
            <w:pPr>
              <w:widowControl/>
              <w:topLinePunct/>
              <w:autoSpaceDE w:val="0"/>
              <w:adjustRightInd w:val="0"/>
              <w:rPr>
                <w:rFonts w:cs="宋体" w:asciiTheme="minorEastAsia" w:hAnsiTheme="minorEastAsia" w:eastAsiaTheme="minorEastAsia"/>
                <w:kern w:val="0"/>
                <w:sz w:val="21"/>
                <w:szCs w:val="21"/>
                <w:lang w:val="zh-TW"/>
              </w:rPr>
            </w:pPr>
            <w:r>
              <w:rPr>
                <w:rFonts w:hint="eastAsia" w:cs="宋体" w:asciiTheme="minorEastAsia" w:hAnsiTheme="minorEastAsia" w:eastAsiaTheme="minorEastAsia"/>
                <w:kern w:val="0"/>
                <w:sz w:val="21"/>
                <w:szCs w:val="21"/>
              </w:rPr>
              <w:t>康复数字化管理系统维护服务1</w:t>
            </w:r>
            <w:r>
              <w:rPr>
                <w:rFonts w:hint="eastAsia" w:cs="宋体" w:asciiTheme="minorEastAsia" w:hAnsiTheme="minorEastAsia" w:eastAsiaTheme="minorEastAsia"/>
                <w:kern w:val="0"/>
                <w:sz w:val="21"/>
                <w:szCs w:val="21"/>
                <w:lang w:eastAsia="zh-TW"/>
              </w:rPr>
              <w:t>年</w:t>
            </w:r>
          </w:p>
        </w:tc>
      </w:tr>
    </w:tbl>
    <w:p>
      <w:pPr>
        <w:widowControl/>
        <w:topLinePunct/>
        <w:autoSpaceDE w:val="0"/>
        <w:adjustRightInd w:val="0"/>
        <w:spacing w:line="360" w:lineRule="auto"/>
        <w:jc w:val="left"/>
        <w:rPr>
          <w:rFonts w:cs="宋体" w:asciiTheme="minorEastAsia" w:hAnsiTheme="minorEastAsia"/>
          <w:szCs w:val="21"/>
        </w:rPr>
      </w:pPr>
      <w:r>
        <w:rPr>
          <w:rFonts w:hint="eastAsia" w:cs="Times New Roman" w:asciiTheme="minorEastAsia" w:hAnsiTheme="minorEastAsia"/>
          <w:b/>
          <w:szCs w:val="21"/>
        </w:rPr>
        <w:t>三、</w:t>
      </w:r>
      <w:r>
        <w:rPr>
          <w:rFonts w:hint="eastAsia" w:cs="宋体" w:asciiTheme="minorEastAsia" w:hAnsiTheme="minorEastAsia"/>
          <w:szCs w:val="21"/>
        </w:rPr>
        <w:t>功能要求</w:t>
      </w:r>
    </w:p>
    <w:tbl>
      <w:tblPr>
        <w:tblStyle w:val="1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843"/>
        <w:gridCol w:w="5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bottom w:val="single" w:color="auto" w:sz="4" w:space="0"/>
            </w:tcBorders>
            <w:shd w:val="clear" w:color="auto" w:fill="auto"/>
            <w:vAlign w:val="center"/>
          </w:tcPr>
          <w:p>
            <w:pPr>
              <w:widowControl/>
              <w:topLinePunct/>
              <w:autoSpaceDE w:val="0"/>
              <w:adjustRightInd w:val="0"/>
              <w:spacing w:line="360" w:lineRule="auto"/>
              <w:jc w:val="center"/>
              <w:rPr>
                <w:rFonts w:cs="宋体" w:asciiTheme="minorEastAsia" w:hAnsiTheme="minorEastAsia"/>
                <w:b/>
                <w:szCs w:val="21"/>
              </w:rPr>
            </w:pPr>
            <w:r>
              <w:rPr>
                <w:rFonts w:hint="eastAsia" w:cs="宋体" w:asciiTheme="minorEastAsia" w:hAnsiTheme="minorEastAsia"/>
                <w:b/>
                <w:szCs w:val="21"/>
              </w:rPr>
              <w:t>序号</w:t>
            </w:r>
          </w:p>
        </w:tc>
        <w:tc>
          <w:tcPr>
            <w:tcW w:w="1843" w:type="dxa"/>
            <w:tcBorders>
              <w:bottom w:val="single" w:color="auto" w:sz="4" w:space="0"/>
            </w:tcBorders>
            <w:shd w:val="clear" w:color="auto" w:fill="auto"/>
            <w:vAlign w:val="center"/>
          </w:tcPr>
          <w:p>
            <w:pPr>
              <w:widowControl/>
              <w:topLinePunct/>
              <w:autoSpaceDE w:val="0"/>
              <w:adjustRightInd w:val="0"/>
              <w:spacing w:line="360" w:lineRule="auto"/>
              <w:jc w:val="center"/>
              <w:rPr>
                <w:rFonts w:cs="宋体" w:asciiTheme="minorEastAsia" w:hAnsiTheme="minorEastAsia"/>
                <w:b/>
                <w:szCs w:val="21"/>
              </w:rPr>
            </w:pPr>
            <w:r>
              <w:rPr>
                <w:rFonts w:hint="eastAsia" w:cs="宋体" w:asciiTheme="minorEastAsia" w:hAnsiTheme="minorEastAsia"/>
                <w:b/>
                <w:szCs w:val="21"/>
              </w:rPr>
              <w:t>功能模块</w:t>
            </w:r>
          </w:p>
        </w:tc>
        <w:tc>
          <w:tcPr>
            <w:tcW w:w="5906" w:type="dxa"/>
            <w:tcBorders>
              <w:bottom w:val="single" w:color="auto" w:sz="4" w:space="0"/>
            </w:tcBorders>
            <w:shd w:val="clear" w:color="auto" w:fill="auto"/>
            <w:vAlign w:val="center"/>
          </w:tcPr>
          <w:p>
            <w:pPr>
              <w:widowControl/>
              <w:topLinePunct/>
              <w:autoSpaceDE w:val="0"/>
              <w:adjustRightInd w:val="0"/>
              <w:spacing w:line="360" w:lineRule="auto"/>
              <w:jc w:val="center"/>
              <w:rPr>
                <w:rFonts w:cs="宋体" w:asciiTheme="minorEastAsia" w:hAnsiTheme="minorEastAsia"/>
                <w:b/>
                <w:szCs w:val="21"/>
              </w:rPr>
            </w:pPr>
            <w:r>
              <w:rPr>
                <w:rFonts w:hint="eastAsia" w:cs="宋体" w:asciiTheme="minorEastAsia" w:hAnsiTheme="minorEastAsia"/>
                <w:b/>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1318" w:type="dxa"/>
            <w:vAlign w:val="center"/>
          </w:tcPr>
          <w:p>
            <w:pPr>
              <w:widowControl/>
              <w:topLinePunct/>
              <w:autoSpaceDE w:val="0"/>
              <w:adjustRightInd w:val="0"/>
              <w:spacing w:line="360" w:lineRule="auto"/>
              <w:jc w:val="center"/>
              <w:rPr>
                <w:rFonts w:cs="宋体" w:asciiTheme="minorEastAsia" w:hAnsiTheme="minorEastAsia"/>
                <w:szCs w:val="21"/>
                <w:lang w:val="zh-TW" w:eastAsia="zh-TW"/>
              </w:rPr>
            </w:pPr>
            <w:r>
              <w:rPr>
                <w:rFonts w:hint="eastAsia" w:cs="宋体" w:asciiTheme="minorEastAsia" w:hAnsiTheme="minorEastAsia"/>
                <w:szCs w:val="21"/>
                <w:lang w:val="zh-TW" w:eastAsia="zh-TW"/>
              </w:rPr>
              <w:t>1</w:t>
            </w:r>
          </w:p>
        </w:tc>
        <w:tc>
          <w:tcPr>
            <w:tcW w:w="1843" w:type="dxa"/>
            <w:vAlign w:val="center"/>
          </w:tcPr>
          <w:p>
            <w:pPr>
              <w:widowControl/>
              <w:topLinePunct/>
              <w:autoSpaceDE w:val="0"/>
              <w:adjustRightInd w:val="0"/>
              <w:spacing w:line="360" w:lineRule="auto"/>
              <w:jc w:val="left"/>
              <w:rPr>
                <w:rFonts w:cs="宋体" w:asciiTheme="minorEastAsia" w:hAnsiTheme="minorEastAsia"/>
                <w:szCs w:val="21"/>
                <w:lang w:val="zh-TW" w:eastAsia="zh-TW"/>
              </w:rPr>
            </w:pPr>
            <w:r>
              <w:rPr>
                <w:rFonts w:hint="eastAsia" w:cs="宋体" w:asciiTheme="minorEastAsia" w:hAnsiTheme="minorEastAsia"/>
                <w:szCs w:val="21"/>
                <w:lang w:val="zh-TW"/>
              </w:rPr>
              <w:t>系统支持范围</w:t>
            </w:r>
          </w:p>
        </w:tc>
        <w:tc>
          <w:tcPr>
            <w:tcW w:w="5906" w:type="dxa"/>
            <w:shd w:val="clear" w:color="auto" w:fill="auto"/>
            <w:vAlign w:val="center"/>
          </w:tcPr>
          <w:p>
            <w:pPr>
              <w:widowControl/>
              <w:topLinePunct/>
              <w:autoSpaceDE w:val="0"/>
              <w:adjustRightInd w:val="0"/>
              <w:spacing w:line="360" w:lineRule="auto"/>
              <w:jc w:val="left"/>
              <w:rPr>
                <w:rFonts w:cs="宋体" w:asciiTheme="minorEastAsia" w:hAnsiTheme="minorEastAsia"/>
                <w:szCs w:val="21"/>
                <w:lang w:eastAsia="zh-TW"/>
              </w:rPr>
            </w:pPr>
            <w:r>
              <w:rPr>
                <w:rFonts w:hint="eastAsia" w:cs="宋体" w:asciiTheme="minorEastAsia" w:hAnsiTheme="minorEastAsia"/>
                <w:szCs w:val="21"/>
                <w:lang w:val="zh-TW"/>
              </w:rPr>
              <w:t>康复数字化管理系统（RMIS系统）是一款实现“康复过程数字化和康复数据管理”的专业化软件，系统实现院内康复业务的各项管理需求：康复评定管理、康复治疗管理、康复治疗排班、康复治疗状态监控、康复患者档案、康复教育、医治护患信息共享，康复数据统计分析等多维一体的立体式信息化，为医院提供“数据共享、流程规范、业务支撑、效率提升、质控管理、服务提升、管理优化”七大核心价值，全面解决康复科室管理不规范、技术参差不齐、教学困难、质量标准不统一、数据共享困难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18" w:type="dxa"/>
            <w:vAlign w:val="center"/>
          </w:tcPr>
          <w:p>
            <w:pPr>
              <w:widowControl/>
              <w:topLinePunct/>
              <w:autoSpaceDE w:val="0"/>
              <w:adjustRightInd w:val="0"/>
              <w:spacing w:line="360" w:lineRule="auto"/>
              <w:jc w:val="center"/>
              <w:rPr>
                <w:rFonts w:cs="宋体" w:asciiTheme="minorEastAsia" w:hAnsiTheme="minorEastAsia"/>
                <w:szCs w:val="21"/>
                <w:lang w:val="zh-TW" w:eastAsia="zh-TW"/>
              </w:rPr>
            </w:pPr>
            <w:r>
              <w:rPr>
                <w:rFonts w:cs="宋体" w:asciiTheme="minorEastAsia" w:hAnsiTheme="minorEastAsia"/>
                <w:szCs w:val="21"/>
                <w:lang w:val="zh-TW" w:eastAsia="zh-TW"/>
              </w:rPr>
              <w:t>2</w:t>
            </w:r>
          </w:p>
        </w:tc>
        <w:tc>
          <w:tcPr>
            <w:tcW w:w="1843" w:type="dxa"/>
            <w:vAlign w:val="center"/>
          </w:tcPr>
          <w:p>
            <w:pPr>
              <w:widowControl/>
              <w:topLinePunct/>
              <w:autoSpaceDE w:val="0"/>
              <w:adjustRightInd w:val="0"/>
              <w:spacing w:line="360" w:lineRule="auto"/>
              <w:jc w:val="left"/>
              <w:rPr>
                <w:rFonts w:cs="宋体" w:asciiTheme="minorEastAsia" w:hAnsiTheme="minorEastAsia"/>
                <w:szCs w:val="21"/>
                <w:lang w:val="zh-TW" w:eastAsia="zh-TW"/>
              </w:rPr>
            </w:pPr>
            <w:r>
              <w:rPr>
                <w:rFonts w:hint="eastAsia" w:cs="宋体" w:asciiTheme="minorEastAsia" w:hAnsiTheme="minorEastAsia"/>
                <w:szCs w:val="21"/>
                <w:lang w:val="zh-TW"/>
              </w:rPr>
              <w:t>系统</w:t>
            </w:r>
            <w:r>
              <w:rPr>
                <w:rFonts w:hint="eastAsia" w:cs="宋体" w:asciiTheme="minorEastAsia" w:hAnsiTheme="minorEastAsia"/>
                <w:szCs w:val="21"/>
                <w:lang w:val="zh-TW" w:eastAsia="zh-TW"/>
              </w:rPr>
              <w:t>故障处理</w:t>
            </w:r>
          </w:p>
        </w:tc>
        <w:tc>
          <w:tcPr>
            <w:tcW w:w="5906" w:type="dxa"/>
            <w:shd w:val="clear" w:color="auto" w:fill="auto"/>
            <w:vAlign w:val="center"/>
          </w:tcPr>
          <w:p>
            <w:pPr>
              <w:widowControl/>
              <w:topLinePunct/>
              <w:autoSpaceDE w:val="0"/>
              <w:adjustRightInd w:val="0"/>
              <w:spacing w:line="360" w:lineRule="auto"/>
              <w:jc w:val="left"/>
              <w:rPr>
                <w:rFonts w:cs="宋体" w:asciiTheme="minorEastAsia" w:hAnsiTheme="minorEastAsia"/>
                <w:szCs w:val="21"/>
                <w:lang w:val="zh-TW"/>
              </w:rPr>
            </w:pPr>
            <w:r>
              <w:rPr>
                <w:rFonts w:hint="eastAsia" w:cs="宋体" w:asciiTheme="minorEastAsia" w:hAnsiTheme="minorEastAsia"/>
                <w:szCs w:val="21"/>
                <w:lang w:val="zh-TW"/>
              </w:rPr>
              <w:t>1）、提供7×24小时专业客服热线，开展系统运行问题上报、业务咨询、投诉、回访及客户满意度调查等业务；</w:t>
            </w:r>
          </w:p>
          <w:p>
            <w:pPr>
              <w:widowControl/>
              <w:topLinePunct/>
              <w:autoSpaceDE w:val="0"/>
              <w:adjustRightInd w:val="0"/>
              <w:spacing w:line="360" w:lineRule="auto"/>
              <w:jc w:val="left"/>
              <w:rPr>
                <w:rFonts w:cs="宋体" w:asciiTheme="minorEastAsia" w:hAnsiTheme="minorEastAsia"/>
                <w:szCs w:val="21"/>
                <w:lang w:eastAsia="zh-TW"/>
              </w:rPr>
            </w:pPr>
            <w:r>
              <w:rPr>
                <w:rFonts w:hint="eastAsia" w:cs="宋体" w:asciiTheme="minorEastAsia" w:hAnsiTheme="minorEastAsia"/>
                <w:szCs w:val="21"/>
                <w:lang w:val="zh-TW"/>
              </w:rPr>
              <w:t>2）、拥有专职工程师服务团队，提供7×24小时的远程、电话、即时通讯工具等方式的问题处理服务和业务咨询服务，确保康复数字化管理系统正常、稳定运行；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18" w:type="dxa"/>
            <w:vAlign w:val="center"/>
          </w:tcPr>
          <w:p>
            <w:pPr>
              <w:widowControl/>
              <w:topLinePunct/>
              <w:autoSpaceDE w:val="0"/>
              <w:adjustRightInd w:val="0"/>
              <w:spacing w:line="360" w:lineRule="auto"/>
              <w:jc w:val="center"/>
              <w:rPr>
                <w:rFonts w:cs="宋体" w:asciiTheme="minorEastAsia" w:hAnsiTheme="minorEastAsia"/>
                <w:szCs w:val="21"/>
                <w:lang w:val="zh-TW" w:eastAsia="zh-TW"/>
              </w:rPr>
            </w:pPr>
            <w:r>
              <w:rPr>
                <w:rFonts w:cs="宋体" w:asciiTheme="minorEastAsia" w:hAnsiTheme="minorEastAsia"/>
                <w:szCs w:val="21"/>
                <w:lang w:val="zh-TW" w:eastAsia="zh-TW"/>
              </w:rPr>
              <w:t>3</w:t>
            </w:r>
          </w:p>
        </w:tc>
        <w:tc>
          <w:tcPr>
            <w:tcW w:w="1843" w:type="dxa"/>
            <w:vAlign w:val="center"/>
          </w:tcPr>
          <w:p>
            <w:pPr>
              <w:widowControl/>
              <w:topLinePunct/>
              <w:autoSpaceDE w:val="0"/>
              <w:adjustRightInd w:val="0"/>
              <w:spacing w:line="360" w:lineRule="auto"/>
              <w:jc w:val="left"/>
              <w:rPr>
                <w:rFonts w:cs="宋体" w:asciiTheme="minorEastAsia" w:hAnsiTheme="minorEastAsia"/>
                <w:szCs w:val="21"/>
                <w:lang w:val="zh-TW" w:eastAsia="zh-TW"/>
              </w:rPr>
            </w:pPr>
            <w:r>
              <w:rPr>
                <w:rFonts w:hint="eastAsia" w:cs="宋体" w:asciiTheme="minorEastAsia" w:hAnsiTheme="minorEastAsia"/>
                <w:szCs w:val="21"/>
                <w:lang w:val="zh-TW"/>
              </w:rPr>
              <w:t>现场</w:t>
            </w:r>
            <w:r>
              <w:rPr>
                <w:rFonts w:hint="eastAsia" w:cs="宋体" w:asciiTheme="minorEastAsia" w:hAnsiTheme="minorEastAsia"/>
                <w:szCs w:val="21"/>
                <w:lang w:val="zh-TW" w:eastAsia="zh-TW"/>
              </w:rPr>
              <w:t>故障处理</w:t>
            </w:r>
          </w:p>
        </w:tc>
        <w:tc>
          <w:tcPr>
            <w:tcW w:w="5906" w:type="dxa"/>
            <w:shd w:val="clear" w:color="auto" w:fill="auto"/>
            <w:vAlign w:val="center"/>
          </w:tcPr>
          <w:p>
            <w:pPr>
              <w:widowControl/>
              <w:topLinePunct/>
              <w:autoSpaceDE w:val="0"/>
              <w:adjustRightInd w:val="0"/>
              <w:spacing w:line="360" w:lineRule="auto"/>
              <w:jc w:val="left"/>
              <w:rPr>
                <w:rFonts w:cs="宋体" w:asciiTheme="minorEastAsia" w:hAnsiTheme="minorEastAsia"/>
                <w:szCs w:val="21"/>
                <w:lang w:val="zh-TW"/>
              </w:rPr>
            </w:pPr>
            <w:r>
              <w:rPr>
                <w:rFonts w:hint="eastAsia" w:cs="宋体" w:asciiTheme="minorEastAsia" w:hAnsiTheme="minorEastAsia"/>
                <w:szCs w:val="21"/>
                <w:lang w:val="zh-TW"/>
              </w:rPr>
              <w:t>1）、提供特殊情况下的现场服务，以便保障及快速恢复康复数字化管理系统的正常运行，此类情况包括：</w:t>
            </w:r>
          </w:p>
          <w:p>
            <w:pPr>
              <w:widowControl/>
              <w:topLinePunct/>
              <w:autoSpaceDE w:val="0"/>
              <w:adjustRightInd w:val="0"/>
              <w:spacing w:line="360" w:lineRule="auto"/>
              <w:jc w:val="left"/>
              <w:rPr>
                <w:rFonts w:cs="宋体" w:asciiTheme="minorEastAsia" w:hAnsiTheme="minorEastAsia"/>
                <w:szCs w:val="21"/>
                <w:lang w:val="zh-TW"/>
              </w:rPr>
            </w:pPr>
            <w:r>
              <w:rPr>
                <w:rFonts w:hint="eastAsia" w:cs="宋体" w:asciiTheme="minorEastAsia" w:hAnsiTheme="minorEastAsia"/>
                <w:szCs w:val="21"/>
                <w:lang w:val="zh-TW"/>
              </w:rPr>
              <w:t>A、因意外情况导致的数据库软件故障导致的系统无法正常运行、系统数据丢失等。</w:t>
            </w:r>
          </w:p>
          <w:p>
            <w:pPr>
              <w:widowControl/>
              <w:topLinePunct/>
              <w:autoSpaceDE w:val="0"/>
              <w:adjustRightInd w:val="0"/>
              <w:spacing w:line="360" w:lineRule="auto"/>
              <w:jc w:val="left"/>
              <w:rPr>
                <w:rFonts w:cs="宋体" w:asciiTheme="minorEastAsia" w:hAnsiTheme="minorEastAsia"/>
                <w:szCs w:val="21"/>
                <w:lang w:val="zh-TW"/>
              </w:rPr>
            </w:pPr>
            <w:r>
              <w:rPr>
                <w:rFonts w:hint="eastAsia" w:cs="宋体" w:asciiTheme="minorEastAsia" w:hAnsiTheme="minorEastAsia"/>
                <w:szCs w:val="21"/>
                <w:lang w:val="zh-TW"/>
              </w:rPr>
              <w:t>B、因用户服务器更换、软硬件升级操作而导致的数据库软件重装、系统重装等。</w:t>
            </w:r>
          </w:p>
          <w:p>
            <w:pPr>
              <w:widowControl/>
              <w:topLinePunct/>
              <w:autoSpaceDE w:val="0"/>
              <w:adjustRightInd w:val="0"/>
              <w:spacing w:line="360" w:lineRule="auto"/>
              <w:jc w:val="left"/>
              <w:rPr>
                <w:rFonts w:cs="宋体" w:asciiTheme="minorEastAsia" w:hAnsiTheme="minorEastAsia"/>
                <w:szCs w:val="21"/>
                <w:lang w:val="zh-TW"/>
              </w:rPr>
            </w:pPr>
            <w:r>
              <w:rPr>
                <w:rFonts w:hint="eastAsia" w:cs="宋体" w:asciiTheme="minorEastAsia" w:hAnsiTheme="minorEastAsia"/>
                <w:szCs w:val="21"/>
                <w:lang w:val="zh-TW"/>
              </w:rPr>
              <w:t>C、为提升系统运行效率而定期进行的数据清理、数据迁移等操作；</w:t>
            </w:r>
          </w:p>
          <w:p>
            <w:pPr>
              <w:widowControl/>
              <w:topLinePunct/>
              <w:autoSpaceDE w:val="0"/>
              <w:adjustRightInd w:val="0"/>
              <w:spacing w:line="360" w:lineRule="auto"/>
              <w:jc w:val="left"/>
              <w:rPr>
                <w:rFonts w:cs="宋体" w:asciiTheme="minorEastAsia" w:hAnsiTheme="minorEastAsia"/>
                <w:szCs w:val="21"/>
                <w:lang w:val="zh-TW"/>
              </w:rPr>
            </w:pPr>
            <w:r>
              <w:rPr>
                <w:rFonts w:hint="eastAsia" w:cs="宋体" w:asciiTheme="minorEastAsia" w:hAnsiTheme="minorEastAsia"/>
                <w:szCs w:val="21"/>
                <w:lang w:val="zh-TW"/>
              </w:rPr>
              <w:t>2）、造成康复系统瘫痪的故障，且远程无法解决时，厂商需要在接到通知后</w:t>
            </w:r>
            <w:r>
              <w:rPr>
                <w:rFonts w:cs="宋体" w:asciiTheme="minorEastAsia" w:hAnsiTheme="minorEastAsia"/>
                <w:szCs w:val="21"/>
                <w:lang w:val="zh-TW" w:eastAsia="zh-TW"/>
              </w:rPr>
              <w:t>4</w:t>
            </w:r>
            <w:r>
              <w:rPr>
                <w:rFonts w:hint="eastAsia" w:cs="宋体" w:asciiTheme="minorEastAsia" w:hAnsiTheme="minorEastAsia"/>
                <w:szCs w:val="21"/>
                <w:lang w:val="zh-TW"/>
              </w:rPr>
              <w:t>小时内到达现场处理；其余故障厂商需要在接到通知后</w:t>
            </w:r>
            <w:r>
              <w:rPr>
                <w:rFonts w:cs="宋体" w:asciiTheme="minorEastAsia" w:hAnsiTheme="minorEastAsia"/>
                <w:szCs w:val="21"/>
                <w:lang w:val="zh-TW" w:eastAsia="zh-TW"/>
              </w:rPr>
              <w:t>8</w:t>
            </w:r>
            <w:r>
              <w:rPr>
                <w:rFonts w:hint="eastAsia" w:cs="宋体" w:asciiTheme="minorEastAsia" w:hAnsiTheme="minorEastAsia"/>
                <w:szCs w:val="21"/>
                <w:lang w:val="zh-TW"/>
              </w:rPr>
              <w:t>小时内到达现场处理。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18" w:type="dxa"/>
            <w:vAlign w:val="center"/>
          </w:tcPr>
          <w:p>
            <w:pPr>
              <w:widowControl/>
              <w:topLinePunct/>
              <w:autoSpaceDE w:val="0"/>
              <w:adjustRightInd w:val="0"/>
              <w:spacing w:line="360" w:lineRule="auto"/>
              <w:jc w:val="center"/>
              <w:rPr>
                <w:rFonts w:cs="宋体" w:asciiTheme="minorEastAsia" w:hAnsiTheme="minorEastAsia"/>
                <w:szCs w:val="21"/>
                <w:lang w:val="zh-TW" w:eastAsia="zh-TW"/>
              </w:rPr>
            </w:pPr>
            <w:r>
              <w:rPr>
                <w:rFonts w:cs="宋体" w:asciiTheme="minorEastAsia" w:hAnsiTheme="minorEastAsia"/>
                <w:szCs w:val="21"/>
                <w:lang w:val="zh-TW" w:eastAsia="zh-TW"/>
              </w:rPr>
              <w:t>4</w:t>
            </w:r>
          </w:p>
        </w:tc>
        <w:tc>
          <w:tcPr>
            <w:tcW w:w="1843" w:type="dxa"/>
            <w:vAlign w:val="center"/>
          </w:tcPr>
          <w:p>
            <w:pPr>
              <w:widowControl/>
              <w:topLinePunct/>
              <w:autoSpaceDE w:val="0"/>
              <w:adjustRightInd w:val="0"/>
              <w:spacing w:line="360" w:lineRule="auto"/>
              <w:jc w:val="left"/>
              <w:rPr>
                <w:rFonts w:cs="宋体" w:asciiTheme="minorEastAsia" w:hAnsiTheme="minorEastAsia"/>
                <w:szCs w:val="21"/>
                <w:lang w:val="zh-TW" w:eastAsia="zh-TW"/>
              </w:rPr>
            </w:pPr>
            <w:r>
              <w:rPr>
                <w:rFonts w:hint="eastAsia" w:cs="宋体" w:asciiTheme="minorEastAsia" w:hAnsiTheme="minorEastAsia"/>
                <w:szCs w:val="21"/>
                <w:lang w:val="zh-TW"/>
              </w:rPr>
              <w:t>系统版本</w:t>
            </w:r>
            <w:r>
              <w:rPr>
                <w:rFonts w:hint="eastAsia" w:cs="宋体" w:asciiTheme="minorEastAsia" w:hAnsiTheme="minorEastAsia"/>
                <w:szCs w:val="21"/>
                <w:lang w:val="zh-TW" w:eastAsia="zh-TW"/>
              </w:rPr>
              <w:t>升级</w:t>
            </w:r>
          </w:p>
        </w:tc>
        <w:tc>
          <w:tcPr>
            <w:tcW w:w="5906" w:type="dxa"/>
            <w:shd w:val="clear" w:color="auto" w:fill="auto"/>
            <w:vAlign w:val="center"/>
          </w:tcPr>
          <w:p>
            <w:pPr>
              <w:widowControl/>
              <w:topLinePunct/>
              <w:autoSpaceDE w:val="0"/>
              <w:adjustRightInd w:val="0"/>
              <w:spacing w:line="360" w:lineRule="auto"/>
              <w:jc w:val="left"/>
              <w:rPr>
                <w:rFonts w:cs="宋体" w:asciiTheme="minorEastAsia" w:hAnsiTheme="minorEastAsia"/>
                <w:szCs w:val="21"/>
                <w:lang w:val="zh-TW"/>
              </w:rPr>
            </w:pPr>
            <w:r>
              <w:rPr>
                <w:rFonts w:hint="eastAsia" w:cs="宋体" w:asciiTheme="minorEastAsia" w:hAnsiTheme="minorEastAsia"/>
                <w:szCs w:val="21"/>
                <w:lang w:val="zh-TW"/>
              </w:rPr>
              <w:t>1）、提供系统新版本更新，确保软件因升级优化及BUG处理时即时得到更新；</w:t>
            </w:r>
          </w:p>
          <w:p>
            <w:pPr>
              <w:widowControl/>
              <w:topLinePunct/>
              <w:autoSpaceDE w:val="0"/>
              <w:adjustRightInd w:val="0"/>
              <w:spacing w:line="360" w:lineRule="auto"/>
              <w:jc w:val="left"/>
              <w:rPr>
                <w:rFonts w:cs="宋体" w:asciiTheme="minorEastAsia" w:hAnsiTheme="minorEastAsia"/>
                <w:szCs w:val="21"/>
                <w:lang w:val="zh-TW"/>
              </w:rPr>
            </w:pPr>
            <w:r>
              <w:rPr>
                <w:rFonts w:cs="宋体" w:asciiTheme="minorEastAsia" w:hAnsiTheme="minorEastAsia"/>
                <w:szCs w:val="21"/>
                <w:lang w:val="zh-TW" w:eastAsia="zh-TW"/>
              </w:rPr>
              <w:t>2</w:t>
            </w:r>
            <w:r>
              <w:rPr>
                <w:rFonts w:hint="eastAsia" w:cs="宋体" w:asciiTheme="minorEastAsia" w:hAnsiTheme="minorEastAsia"/>
                <w:szCs w:val="21"/>
                <w:lang w:val="zh-TW"/>
              </w:rPr>
              <w:t>）、提供数据库定期备份功能，确保数据异常后能及时恢复。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18" w:type="dxa"/>
            <w:vAlign w:val="center"/>
          </w:tcPr>
          <w:p>
            <w:pPr>
              <w:widowControl/>
              <w:topLinePunct/>
              <w:autoSpaceDE w:val="0"/>
              <w:adjustRightInd w:val="0"/>
              <w:spacing w:line="360" w:lineRule="auto"/>
              <w:jc w:val="center"/>
              <w:rPr>
                <w:rFonts w:cs="宋体" w:asciiTheme="minorEastAsia" w:hAnsiTheme="minorEastAsia"/>
                <w:szCs w:val="21"/>
                <w:lang w:val="zh-TW" w:eastAsia="zh-TW"/>
              </w:rPr>
            </w:pPr>
            <w:r>
              <w:rPr>
                <w:rFonts w:cs="宋体" w:asciiTheme="minorEastAsia" w:hAnsiTheme="minorEastAsia"/>
                <w:szCs w:val="21"/>
                <w:lang w:val="zh-TW" w:eastAsia="zh-TW"/>
              </w:rPr>
              <w:t>5</w:t>
            </w:r>
          </w:p>
        </w:tc>
        <w:tc>
          <w:tcPr>
            <w:tcW w:w="1843" w:type="dxa"/>
            <w:vAlign w:val="center"/>
          </w:tcPr>
          <w:p>
            <w:pPr>
              <w:widowControl/>
              <w:topLinePunct/>
              <w:autoSpaceDE w:val="0"/>
              <w:adjustRightInd w:val="0"/>
              <w:spacing w:line="360" w:lineRule="auto"/>
              <w:jc w:val="left"/>
              <w:rPr>
                <w:rFonts w:cs="宋体" w:asciiTheme="minorEastAsia" w:hAnsiTheme="minorEastAsia"/>
                <w:szCs w:val="21"/>
                <w:lang w:val="zh-TW"/>
              </w:rPr>
            </w:pPr>
            <w:r>
              <w:rPr>
                <w:rFonts w:hint="eastAsia" w:cs="宋体" w:asciiTheme="minorEastAsia" w:hAnsiTheme="minorEastAsia"/>
                <w:szCs w:val="21"/>
                <w:lang w:val="zh-TW"/>
              </w:rPr>
              <w:t>巡检服务</w:t>
            </w:r>
          </w:p>
        </w:tc>
        <w:tc>
          <w:tcPr>
            <w:tcW w:w="5906" w:type="dxa"/>
            <w:shd w:val="clear" w:color="auto" w:fill="auto"/>
            <w:vAlign w:val="center"/>
          </w:tcPr>
          <w:p>
            <w:pPr>
              <w:widowControl/>
              <w:topLinePunct/>
              <w:autoSpaceDE w:val="0"/>
              <w:adjustRightInd w:val="0"/>
              <w:spacing w:line="360" w:lineRule="auto"/>
              <w:jc w:val="left"/>
              <w:rPr>
                <w:rFonts w:cs="宋体" w:asciiTheme="minorEastAsia" w:hAnsiTheme="minorEastAsia"/>
                <w:szCs w:val="21"/>
                <w:lang w:val="zh-TW"/>
              </w:rPr>
            </w:pPr>
            <w:r>
              <w:rPr>
                <w:rFonts w:hint="eastAsia" w:cs="宋体" w:asciiTheme="minorEastAsia" w:hAnsiTheme="minorEastAsia"/>
                <w:szCs w:val="21"/>
                <w:lang w:val="zh-TW"/>
              </w:rPr>
              <w:t>提供服务器、应用服务及系统运行情况的现场巡检服务，至少4次/每年，并提供巡检报告；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18" w:type="dxa"/>
            <w:vAlign w:val="center"/>
          </w:tcPr>
          <w:p>
            <w:pPr>
              <w:widowControl/>
              <w:topLinePunct/>
              <w:autoSpaceDE w:val="0"/>
              <w:adjustRightInd w:val="0"/>
              <w:spacing w:line="360" w:lineRule="auto"/>
              <w:jc w:val="center"/>
              <w:rPr>
                <w:rFonts w:cs="宋体" w:asciiTheme="minorEastAsia" w:hAnsiTheme="minorEastAsia"/>
                <w:szCs w:val="21"/>
                <w:lang w:val="zh-TW" w:eastAsia="zh-TW"/>
              </w:rPr>
            </w:pPr>
            <w:r>
              <w:rPr>
                <w:rFonts w:cs="宋体" w:asciiTheme="minorEastAsia" w:hAnsiTheme="minorEastAsia"/>
                <w:szCs w:val="21"/>
                <w:lang w:val="zh-TW" w:eastAsia="zh-TW"/>
              </w:rPr>
              <w:t>6</w:t>
            </w:r>
          </w:p>
        </w:tc>
        <w:tc>
          <w:tcPr>
            <w:tcW w:w="1843" w:type="dxa"/>
            <w:vAlign w:val="center"/>
          </w:tcPr>
          <w:p>
            <w:pPr>
              <w:widowControl/>
              <w:topLinePunct/>
              <w:autoSpaceDE w:val="0"/>
              <w:adjustRightInd w:val="0"/>
              <w:spacing w:line="360" w:lineRule="auto"/>
              <w:jc w:val="left"/>
              <w:rPr>
                <w:rFonts w:cs="宋体" w:asciiTheme="minorEastAsia" w:hAnsiTheme="minorEastAsia"/>
                <w:szCs w:val="21"/>
                <w:lang w:val="zh-TW"/>
              </w:rPr>
            </w:pPr>
            <w:r>
              <w:rPr>
                <w:rFonts w:hint="eastAsia" w:cs="宋体" w:asciiTheme="minorEastAsia" w:hAnsiTheme="minorEastAsia"/>
                <w:szCs w:val="21"/>
                <w:lang w:val="zh-TW"/>
              </w:rPr>
              <w:t>政策支持</w:t>
            </w:r>
          </w:p>
        </w:tc>
        <w:tc>
          <w:tcPr>
            <w:tcW w:w="5906" w:type="dxa"/>
            <w:shd w:val="clear" w:color="auto" w:fill="auto"/>
            <w:vAlign w:val="center"/>
          </w:tcPr>
          <w:p>
            <w:pPr>
              <w:widowControl/>
              <w:topLinePunct/>
              <w:autoSpaceDE w:val="0"/>
              <w:adjustRightInd w:val="0"/>
              <w:spacing w:line="360" w:lineRule="auto"/>
              <w:jc w:val="left"/>
              <w:rPr>
                <w:rFonts w:cs="宋体" w:asciiTheme="minorEastAsia" w:hAnsiTheme="minorEastAsia"/>
                <w:szCs w:val="21"/>
                <w:lang w:val="zh-TW" w:eastAsia="zh-TW"/>
              </w:rPr>
            </w:pPr>
            <w:r>
              <w:rPr>
                <w:rFonts w:hint="eastAsia" w:cs="宋体" w:asciiTheme="minorEastAsia" w:hAnsiTheme="minorEastAsia"/>
                <w:szCs w:val="21"/>
                <w:lang w:val="zh-TW"/>
              </w:rPr>
              <w:t>存在重大政策调整、软件操作调整时，提供相关的业务知识和操作培训；</w:t>
            </w:r>
          </w:p>
        </w:tc>
      </w:tr>
    </w:tbl>
    <w:p>
      <w:pPr>
        <w:jc w:val="center"/>
        <w:rPr>
          <w:rFonts w:ascii="黑体" w:hAnsi="黑体" w:eastAsia="黑体" w:cs="Times New Roman"/>
          <w:kern w:val="0"/>
          <w:sz w:val="32"/>
          <w:szCs w:val="32"/>
        </w:rPr>
      </w:pPr>
    </w:p>
    <w:sectPr>
      <w:headerReference r:id="rId13"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ヒラギノ角ゴ Pro W3">
    <w:altName w:val="MS Gothic"/>
    <w:panose1 w:val="00000000000000000000"/>
    <w:charset w:val="80"/>
    <w:family w:val="auto"/>
    <w:pitch w:val="default"/>
    <w:sig w:usb0="00000000" w:usb1="00000000" w:usb2="00000012" w:usb3="00000000" w:csb0="0002000D"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algun Gothic Semilight">
    <w:altName w:val="Arial Unicode MS"/>
    <w:panose1 w:val="00000000000000000000"/>
    <w:charset w:val="86"/>
    <w:family w:val="swiss"/>
    <w:pitch w:val="default"/>
    <w:sig w:usb0="00000000" w:usb1="00000000" w:usb2="00000012" w:usb3="00000000" w:csb0="003E01BD"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sz w:val="24"/>
        <w:szCs w:val="24"/>
      </w:rPr>
    </w:pPr>
    <w:r>
      <w:rPr>
        <w:rFonts w:hint="eastAsia"/>
        <w:sz w:val="24"/>
        <w:szCs w:val="24"/>
      </w:rPr>
      <w:t>—</w:t>
    </w:r>
    <w:r>
      <w:rPr>
        <w:rStyle w:val="21"/>
        <w:sz w:val="24"/>
        <w:szCs w:val="24"/>
      </w:rPr>
      <w:fldChar w:fldCharType="begin"/>
    </w:r>
    <w:r>
      <w:rPr>
        <w:rStyle w:val="21"/>
        <w:sz w:val="24"/>
        <w:szCs w:val="24"/>
      </w:rPr>
      <w:instrText xml:space="preserve"> PAGE </w:instrText>
    </w:r>
    <w:r>
      <w:rPr>
        <w:rStyle w:val="21"/>
        <w:sz w:val="24"/>
        <w:szCs w:val="24"/>
      </w:rPr>
      <w:fldChar w:fldCharType="separate"/>
    </w:r>
    <w:r>
      <w:rPr>
        <w:rStyle w:val="21"/>
        <w:sz w:val="24"/>
        <w:szCs w:val="24"/>
      </w:rPr>
      <w:t>2</w:t>
    </w:r>
    <w:r>
      <w:rPr>
        <w:rStyle w:val="21"/>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sz w:val="24"/>
        <w:szCs w:val="24"/>
      </w:rPr>
    </w:pPr>
    <w:r>
      <w:rPr>
        <w:rFonts w:hint="eastAsia"/>
        <w:sz w:val="24"/>
        <w:szCs w:val="24"/>
      </w:rPr>
      <w:t>—</w:t>
    </w:r>
    <w:r>
      <w:rPr>
        <w:rStyle w:val="21"/>
        <w:sz w:val="24"/>
        <w:szCs w:val="24"/>
      </w:rPr>
      <w:fldChar w:fldCharType="begin"/>
    </w:r>
    <w:r>
      <w:rPr>
        <w:rStyle w:val="21"/>
        <w:sz w:val="24"/>
        <w:szCs w:val="24"/>
      </w:rPr>
      <w:instrText xml:space="preserve"> PAGE </w:instrText>
    </w:r>
    <w:r>
      <w:rPr>
        <w:rStyle w:val="21"/>
        <w:sz w:val="24"/>
        <w:szCs w:val="24"/>
      </w:rPr>
      <w:fldChar w:fldCharType="separate"/>
    </w:r>
    <w:r>
      <w:rPr>
        <w:rStyle w:val="21"/>
        <w:sz w:val="24"/>
        <w:szCs w:val="24"/>
      </w:rPr>
      <w:t>22</w:t>
    </w:r>
    <w:r>
      <w:rPr>
        <w:rStyle w:val="21"/>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ascii="宋体"/>
        <w:sz w:val="24"/>
        <w:szCs w:val="24"/>
      </w:rPr>
    </w:pPr>
    <w:r>
      <w:rPr>
        <w:rFonts w:hint="eastAsia" w:ascii="宋体"/>
        <w:sz w:val="24"/>
        <w:szCs w:val="24"/>
      </w:rPr>
      <w:t>—</w:t>
    </w:r>
    <w:r>
      <w:rPr>
        <w:rStyle w:val="21"/>
        <w:sz w:val="24"/>
        <w:szCs w:val="24"/>
      </w:rPr>
      <w:fldChar w:fldCharType="begin"/>
    </w:r>
    <w:r>
      <w:rPr>
        <w:rStyle w:val="21"/>
        <w:sz w:val="24"/>
        <w:szCs w:val="24"/>
      </w:rPr>
      <w:instrText xml:space="preserve"> PAGE </w:instrText>
    </w:r>
    <w:r>
      <w:rPr>
        <w:rStyle w:val="21"/>
        <w:sz w:val="24"/>
        <w:szCs w:val="24"/>
      </w:rPr>
      <w:fldChar w:fldCharType="separate"/>
    </w:r>
    <w:r>
      <w:rPr>
        <w:rStyle w:val="21"/>
        <w:sz w:val="24"/>
        <w:szCs w:val="24"/>
      </w:rPr>
      <w:t>27</w:t>
    </w:r>
    <w:r>
      <w:rPr>
        <w:rStyle w:val="21"/>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bCs/>
        <w:sz w:val="21"/>
        <w:szCs w:val="21"/>
      </w:rPr>
    </w:pPr>
  </w:p>
  <w:p>
    <w:pPr>
      <w:pStyle w:val="13"/>
      <w:jc w:val="both"/>
      <w:rPr>
        <w:rFonts w:ascii="楷体_GB2312" w:eastAsia="楷体_GB2312"/>
        <w:bCs/>
        <w:sz w:val="21"/>
        <w:szCs w:val="21"/>
      </w:rPr>
    </w:pPr>
  </w:p>
  <w:p>
    <w:pPr>
      <w:pStyle w:val="13"/>
      <w:jc w:val="both"/>
      <w:rPr>
        <w:rFonts w:ascii="楷体_GB2312" w:eastAsia="楷体_GB2312"/>
        <w:bCs/>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bCs/>
        <w:sz w:val="21"/>
        <w:szCs w:val="21"/>
      </w:rPr>
    </w:pPr>
  </w:p>
  <w:p>
    <w:pPr>
      <w:pStyle w:val="13"/>
      <w:jc w:val="both"/>
      <w:rPr>
        <w:rFonts w:ascii="楷体_GB2312" w:eastAsia="楷体_GB2312"/>
        <w:bCs/>
        <w:sz w:val="21"/>
        <w:szCs w:val="21"/>
      </w:rPr>
    </w:pPr>
  </w:p>
  <w:p>
    <w:pPr>
      <w:pStyle w:val="13"/>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bCs/>
        <w:sz w:val="21"/>
        <w:szCs w:val="21"/>
      </w:rPr>
    </w:pPr>
  </w:p>
  <w:p>
    <w:pPr>
      <w:pStyle w:val="13"/>
      <w:jc w:val="both"/>
      <w:rPr>
        <w:rFonts w:ascii="楷体_GB2312" w:eastAsia="楷体_GB2312"/>
        <w:bCs/>
        <w:sz w:val="21"/>
        <w:szCs w:val="21"/>
      </w:rPr>
    </w:pPr>
  </w:p>
  <w:p>
    <w:pPr>
      <w:pStyle w:val="13"/>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97"/>
  <w:drawingGridVerticalSpacing w:val="20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4303"/>
    <w:rsid w:val="00064EF5"/>
    <w:rsid w:val="00071DFE"/>
    <w:rsid w:val="00082A64"/>
    <w:rsid w:val="00094D66"/>
    <w:rsid w:val="0009631F"/>
    <w:rsid w:val="000A16A1"/>
    <w:rsid w:val="000A2365"/>
    <w:rsid w:val="000A47EE"/>
    <w:rsid w:val="000A574E"/>
    <w:rsid w:val="000B6DC5"/>
    <w:rsid w:val="000C05CF"/>
    <w:rsid w:val="000C28D4"/>
    <w:rsid w:val="000D1A63"/>
    <w:rsid w:val="000D6D49"/>
    <w:rsid w:val="000E0A41"/>
    <w:rsid w:val="000E203F"/>
    <w:rsid w:val="000E24CF"/>
    <w:rsid w:val="000F19EE"/>
    <w:rsid w:val="00101A4E"/>
    <w:rsid w:val="0010707C"/>
    <w:rsid w:val="001146EE"/>
    <w:rsid w:val="001175A3"/>
    <w:rsid w:val="00126E2A"/>
    <w:rsid w:val="00140433"/>
    <w:rsid w:val="00141DF3"/>
    <w:rsid w:val="00146B8C"/>
    <w:rsid w:val="00151352"/>
    <w:rsid w:val="00153547"/>
    <w:rsid w:val="00154A37"/>
    <w:rsid w:val="00156746"/>
    <w:rsid w:val="00162BA1"/>
    <w:rsid w:val="00165CC1"/>
    <w:rsid w:val="00167E17"/>
    <w:rsid w:val="00172231"/>
    <w:rsid w:val="00174EC9"/>
    <w:rsid w:val="00187861"/>
    <w:rsid w:val="001A083F"/>
    <w:rsid w:val="001A14C3"/>
    <w:rsid w:val="001A4FD9"/>
    <w:rsid w:val="001B14E3"/>
    <w:rsid w:val="001B7705"/>
    <w:rsid w:val="001D0023"/>
    <w:rsid w:val="001D1B14"/>
    <w:rsid w:val="001E3296"/>
    <w:rsid w:val="001E34F3"/>
    <w:rsid w:val="001E460B"/>
    <w:rsid w:val="00211789"/>
    <w:rsid w:val="00214820"/>
    <w:rsid w:val="00224E5F"/>
    <w:rsid w:val="00226556"/>
    <w:rsid w:val="002425C9"/>
    <w:rsid w:val="002474B3"/>
    <w:rsid w:val="0026169A"/>
    <w:rsid w:val="00262C6B"/>
    <w:rsid w:val="00265A44"/>
    <w:rsid w:val="00270D48"/>
    <w:rsid w:val="00282E06"/>
    <w:rsid w:val="002A09F2"/>
    <w:rsid w:val="002A29CA"/>
    <w:rsid w:val="002A65C6"/>
    <w:rsid w:val="002B6E50"/>
    <w:rsid w:val="002C0F66"/>
    <w:rsid w:val="002C1147"/>
    <w:rsid w:val="002C1741"/>
    <w:rsid w:val="002C6A11"/>
    <w:rsid w:val="002D0387"/>
    <w:rsid w:val="002D12A7"/>
    <w:rsid w:val="002D1E37"/>
    <w:rsid w:val="002D331A"/>
    <w:rsid w:val="002D4DA1"/>
    <w:rsid w:val="002E3D9F"/>
    <w:rsid w:val="002F1927"/>
    <w:rsid w:val="003027C7"/>
    <w:rsid w:val="00303E33"/>
    <w:rsid w:val="00317266"/>
    <w:rsid w:val="003222A0"/>
    <w:rsid w:val="0033376B"/>
    <w:rsid w:val="003407DF"/>
    <w:rsid w:val="003470EC"/>
    <w:rsid w:val="00354E1F"/>
    <w:rsid w:val="003813C8"/>
    <w:rsid w:val="0038362B"/>
    <w:rsid w:val="00384C3A"/>
    <w:rsid w:val="00387C50"/>
    <w:rsid w:val="0039032C"/>
    <w:rsid w:val="003A0065"/>
    <w:rsid w:val="003A0B24"/>
    <w:rsid w:val="003A415A"/>
    <w:rsid w:val="003B09EC"/>
    <w:rsid w:val="003B09F3"/>
    <w:rsid w:val="003B3BD0"/>
    <w:rsid w:val="003C0056"/>
    <w:rsid w:val="003C64FC"/>
    <w:rsid w:val="003C7F91"/>
    <w:rsid w:val="003E31B8"/>
    <w:rsid w:val="003F338D"/>
    <w:rsid w:val="003F5B3D"/>
    <w:rsid w:val="00400910"/>
    <w:rsid w:val="00401517"/>
    <w:rsid w:val="004112AF"/>
    <w:rsid w:val="00412E87"/>
    <w:rsid w:val="0041496A"/>
    <w:rsid w:val="004208CD"/>
    <w:rsid w:val="00430345"/>
    <w:rsid w:val="004312A2"/>
    <w:rsid w:val="004350C6"/>
    <w:rsid w:val="00452E89"/>
    <w:rsid w:val="004569F6"/>
    <w:rsid w:val="00456C09"/>
    <w:rsid w:val="00460A35"/>
    <w:rsid w:val="00461FFF"/>
    <w:rsid w:val="00463DD9"/>
    <w:rsid w:val="00472CF2"/>
    <w:rsid w:val="00477326"/>
    <w:rsid w:val="00496CBC"/>
    <w:rsid w:val="004B0444"/>
    <w:rsid w:val="004B0B98"/>
    <w:rsid w:val="004B75DB"/>
    <w:rsid w:val="004C0035"/>
    <w:rsid w:val="004C3916"/>
    <w:rsid w:val="004E0DFC"/>
    <w:rsid w:val="004E0F38"/>
    <w:rsid w:val="004E18EC"/>
    <w:rsid w:val="004E35E3"/>
    <w:rsid w:val="004E6AEB"/>
    <w:rsid w:val="004F142D"/>
    <w:rsid w:val="004F39EC"/>
    <w:rsid w:val="004F5E12"/>
    <w:rsid w:val="00503A7C"/>
    <w:rsid w:val="00510D80"/>
    <w:rsid w:val="00511818"/>
    <w:rsid w:val="005222C3"/>
    <w:rsid w:val="00522BDB"/>
    <w:rsid w:val="00522CA7"/>
    <w:rsid w:val="00526753"/>
    <w:rsid w:val="00531671"/>
    <w:rsid w:val="00532B1E"/>
    <w:rsid w:val="00533850"/>
    <w:rsid w:val="005538D3"/>
    <w:rsid w:val="00554F2D"/>
    <w:rsid w:val="00564319"/>
    <w:rsid w:val="00564B59"/>
    <w:rsid w:val="005711F1"/>
    <w:rsid w:val="00575528"/>
    <w:rsid w:val="00576044"/>
    <w:rsid w:val="00577DD4"/>
    <w:rsid w:val="0058351A"/>
    <w:rsid w:val="00585142"/>
    <w:rsid w:val="00592C5C"/>
    <w:rsid w:val="005A24EB"/>
    <w:rsid w:val="005A29A0"/>
    <w:rsid w:val="005B13C9"/>
    <w:rsid w:val="005B5235"/>
    <w:rsid w:val="005C5539"/>
    <w:rsid w:val="005D5EDA"/>
    <w:rsid w:val="005D60FF"/>
    <w:rsid w:val="005E2274"/>
    <w:rsid w:val="005E6410"/>
    <w:rsid w:val="005F2C28"/>
    <w:rsid w:val="005F3E10"/>
    <w:rsid w:val="005F5EEA"/>
    <w:rsid w:val="00604FD7"/>
    <w:rsid w:val="006210E0"/>
    <w:rsid w:val="006266D5"/>
    <w:rsid w:val="0062692F"/>
    <w:rsid w:val="006325D8"/>
    <w:rsid w:val="00635860"/>
    <w:rsid w:val="00636412"/>
    <w:rsid w:val="006419F8"/>
    <w:rsid w:val="006437F7"/>
    <w:rsid w:val="00643BF5"/>
    <w:rsid w:val="00646D68"/>
    <w:rsid w:val="00647E07"/>
    <w:rsid w:val="006508EA"/>
    <w:rsid w:val="006624BA"/>
    <w:rsid w:val="00662CCA"/>
    <w:rsid w:val="00662DD3"/>
    <w:rsid w:val="006638B8"/>
    <w:rsid w:val="00672503"/>
    <w:rsid w:val="0067468C"/>
    <w:rsid w:val="00677854"/>
    <w:rsid w:val="006846E0"/>
    <w:rsid w:val="0068549C"/>
    <w:rsid w:val="00692DE9"/>
    <w:rsid w:val="00696F01"/>
    <w:rsid w:val="006979A0"/>
    <w:rsid w:val="006A14FA"/>
    <w:rsid w:val="006A7511"/>
    <w:rsid w:val="006B13AA"/>
    <w:rsid w:val="006B2818"/>
    <w:rsid w:val="006B4AA1"/>
    <w:rsid w:val="006C1CF4"/>
    <w:rsid w:val="006C6D5D"/>
    <w:rsid w:val="006D1F31"/>
    <w:rsid w:val="006D2D2E"/>
    <w:rsid w:val="006D6637"/>
    <w:rsid w:val="006E2984"/>
    <w:rsid w:val="006E5406"/>
    <w:rsid w:val="006E5F9F"/>
    <w:rsid w:val="006E67F2"/>
    <w:rsid w:val="006F15B6"/>
    <w:rsid w:val="006F181B"/>
    <w:rsid w:val="006F4E14"/>
    <w:rsid w:val="0070041E"/>
    <w:rsid w:val="00707914"/>
    <w:rsid w:val="007122C0"/>
    <w:rsid w:val="00717C01"/>
    <w:rsid w:val="007264A9"/>
    <w:rsid w:val="00726AA3"/>
    <w:rsid w:val="0073357E"/>
    <w:rsid w:val="0074178F"/>
    <w:rsid w:val="00756021"/>
    <w:rsid w:val="00762A6A"/>
    <w:rsid w:val="007653A9"/>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6ED4"/>
    <w:rsid w:val="00807080"/>
    <w:rsid w:val="00807A68"/>
    <w:rsid w:val="00807D77"/>
    <w:rsid w:val="00810193"/>
    <w:rsid w:val="00814F60"/>
    <w:rsid w:val="00821C86"/>
    <w:rsid w:val="00824661"/>
    <w:rsid w:val="0084720F"/>
    <w:rsid w:val="00853C33"/>
    <w:rsid w:val="00856888"/>
    <w:rsid w:val="00860F84"/>
    <w:rsid w:val="00861527"/>
    <w:rsid w:val="008642CB"/>
    <w:rsid w:val="00864CD8"/>
    <w:rsid w:val="00867B6C"/>
    <w:rsid w:val="00871DAD"/>
    <w:rsid w:val="008729B3"/>
    <w:rsid w:val="00880DAF"/>
    <w:rsid w:val="00882004"/>
    <w:rsid w:val="0089518E"/>
    <w:rsid w:val="008A52B6"/>
    <w:rsid w:val="008D583C"/>
    <w:rsid w:val="008D61F3"/>
    <w:rsid w:val="008E0677"/>
    <w:rsid w:val="008E3548"/>
    <w:rsid w:val="008E43CB"/>
    <w:rsid w:val="008E6C20"/>
    <w:rsid w:val="008F2ED3"/>
    <w:rsid w:val="008F3C8F"/>
    <w:rsid w:val="008F3D33"/>
    <w:rsid w:val="008F4528"/>
    <w:rsid w:val="008F7856"/>
    <w:rsid w:val="0090127B"/>
    <w:rsid w:val="00903989"/>
    <w:rsid w:val="00916D12"/>
    <w:rsid w:val="009179A5"/>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097A"/>
    <w:rsid w:val="009D2C79"/>
    <w:rsid w:val="009D7580"/>
    <w:rsid w:val="009D7DC2"/>
    <w:rsid w:val="009E5E21"/>
    <w:rsid w:val="009E6E93"/>
    <w:rsid w:val="009F0E89"/>
    <w:rsid w:val="009F28E6"/>
    <w:rsid w:val="009F315B"/>
    <w:rsid w:val="009F5EA9"/>
    <w:rsid w:val="00A03B1E"/>
    <w:rsid w:val="00A0642A"/>
    <w:rsid w:val="00A072CB"/>
    <w:rsid w:val="00A20EFA"/>
    <w:rsid w:val="00A2139C"/>
    <w:rsid w:val="00A23F41"/>
    <w:rsid w:val="00A272F7"/>
    <w:rsid w:val="00A27C6B"/>
    <w:rsid w:val="00A45B45"/>
    <w:rsid w:val="00A522F8"/>
    <w:rsid w:val="00A56167"/>
    <w:rsid w:val="00A56A69"/>
    <w:rsid w:val="00A62435"/>
    <w:rsid w:val="00A6539D"/>
    <w:rsid w:val="00A6734F"/>
    <w:rsid w:val="00A829B8"/>
    <w:rsid w:val="00A8422B"/>
    <w:rsid w:val="00A93B99"/>
    <w:rsid w:val="00AA43E5"/>
    <w:rsid w:val="00AB444E"/>
    <w:rsid w:val="00AC5A6B"/>
    <w:rsid w:val="00AC74FF"/>
    <w:rsid w:val="00AD0BE5"/>
    <w:rsid w:val="00AD20F1"/>
    <w:rsid w:val="00AE4417"/>
    <w:rsid w:val="00AE46A0"/>
    <w:rsid w:val="00AE5AAA"/>
    <w:rsid w:val="00AF4EC1"/>
    <w:rsid w:val="00AF5267"/>
    <w:rsid w:val="00AF7CD4"/>
    <w:rsid w:val="00B01F17"/>
    <w:rsid w:val="00B0405D"/>
    <w:rsid w:val="00B05B52"/>
    <w:rsid w:val="00B0623F"/>
    <w:rsid w:val="00B06F59"/>
    <w:rsid w:val="00B10A6E"/>
    <w:rsid w:val="00B14E99"/>
    <w:rsid w:val="00B15CF4"/>
    <w:rsid w:val="00B242E3"/>
    <w:rsid w:val="00B2575B"/>
    <w:rsid w:val="00B26F20"/>
    <w:rsid w:val="00B30981"/>
    <w:rsid w:val="00B32656"/>
    <w:rsid w:val="00B40B03"/>
    <w:rsid w:val="00B57CA4"/>
    <w:rsid w:val="00B61ED0"/>
    <w:rsid w:val="00B6394A"/>
    <w:rsid w:val="00B66C1E"/>
    <w:rsid w:val="00B67EE1"/>
    <w:rsid w:val="00B741B4"/>
    <w:rsid w:val="00B8070C"/>
    <w:rsid w:val="00B81FFF"/>
    <w:rsid w:val="00BA55FB"/>
    <w:rsid w:val="00BA5AB9"/>
    <w:rsid w:val="00BB5DEA"/>
    <w:rsid w:val="00BC12B2"/>
    <w:rsid w:val="00BD07A7"/>
    <w:rsid w:val="00BD5F97"/>
    <w:rsid w:val="00BD7A73"/>
    <w:rsid w:val="00BD7E70"/>
    <w:rsid w:val="00BF1317"/>
    <w:rsid w:val="00BF67AD"/>
    <w:rsid w:val="00C01754"/>
    <w:rsid w:val="00C0262E"/>
    <w:rsid w:val="00C040B7"/>
    <w:rsid w:val="00C14157"/>
    <w:rsid w:val="00C152D6"/>
    <w:rsid w:val="00C33384"/>
    <w:rsid w:val="00C37536"/>
    <w:rsid w:val="00C37A4A"/>
    <w:rsid w:val="00C443A8"/>
    <w:rsid w:val="00C464AC"/>
    <w:rsid w:val="00C475A2"/>
    <w:rsid w:val="00C5456B"/>
    <w:rsid w:val="00C56D55"/>
    <w:rsid w:val="00C64A94"/>
    <w:rsid w:val="00C7014A"/>
    <w:rsid w:val="00C76787"/>
    <w:rsid w:val="00C8222E"/>
    <w:rsid w:val="00C822B1"/>
    <w:rsid w:val="00C834FA"/>
    <w:rsid w:val="00C840DC"/>
    <w:rsid w:val="00C84595"/>
    <w:rsid w:val="00C8795F"/>
    <w:rsid w:val="00C929CC"/>
    <w:rsid w:val="00CB02C8"/>
    <w:rsid w:val="00CB1178"/>
    <w:rsid w:val="00CB37F9"/>
    <w:rsid w:val="00CC1FAE"/>
    <w:rsid w:val="00CD3A99"/>
    <w:rsid w:val="00CD46E0"/>
    <w:rsid w:val="00CE4AC8"/>
    <w:rsid w:val="00CE66D3"/>
    <w:rsid w:val="00D01AE2"/>
    <w:rsid w:val="00D12374"/>
    <w:rsid w:val="00D12ABC"/>
    <w:rsid w:val="00D1746D"/>
    <w:rsid w:val="00D27EB7"/>
    <w:rsid w:val="00D3562F"/>
    <w:rsid w:val="00D37ADF"/>
    <w:rsid w:val="00D402B3"/>
    <w:rsid w:val="00D40A20"/>
    <w:rsid w:val="00D4605D"/>
    <w:rsid w:val="00D47BC2"/>
    <w:rsid w:val="00D51588"/>
    <w:rsid w:val="00D53C28"/>
    <w:rsid w:val="00D7048A"/>
    <w:rsid w:val="00D93183"/>
    <w:rsid w:val="00DA1FE1"/>
    <w:rsid w:val="00DA6119"/>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26DAD"/>
    <w:rsid w:val="00E3174A"/>
    <w:rsid w:val="00E41380"/>
    <w:rsid w:val="00E46E3C"/>
    <w:rsid w:val="00E5386A"/>
    <w:rsid w:val="00E60B3D"/>
    <w:rsid w:val="00E73933"/>
    <w:rsid w:val="00E74634"/>
    <w:rsid w:val="00E7484E"/>
    <w:rsid w:val="00E838D5"/>
    <w:rsid w:val="00E8648F"/>
    <w:rsid w:val="00E90F02"/>
    <w:rsid w:val="00E9244B"/>
    <w:rsid w:val="00E94981"/>
    <w:rsid w:val="00EA0E56"/>
    <w:rsid w:val="00EA5CE5"/>
    <w:rsid w:val="00EB77AB"/>
    <w:rsid w:val="00EC796A"/>
    <w:rsid w:val="00F00713"/>
    <w:rsid w:val="00F00D57"/>
    <w:rsid w:val="00F01F2D"/>
    <w:rsid w:val="00F02BBD"/>
    <w:rsid w:val="00F02DFB"/>
    <w:rsid w:val="00F11CF3"/>
    <w:rsid w:val="00F24887"/>
    <w:rsid w:val="00F2646C"/>
    <w:rsid w:val="00F42021"/>
    <w:rsid w:val="00F54CD2"/>
    <w:rsid w:val="00F5553D"/>
    <w:rsid w:val="00F55708"/>
    <w:rsid w:val="00F61B44"/>
    <w:rsid w:val="00F67480"/>
    <w:rsid w:val="00F67D19"/>
    <w:rsid w:val="00F75355"/>
    <w:rsid w:val="00F76A38"/>
    <w:rsid w:val="00F77CF0"/>
    <w:rsid w:val="00F838F2"/>
    <w:rsid w:val="00F8495E"/>
    <w:rsid w:val="00F9421A"/>
    <w:rsid w:val="00F94D11"/>
    <w:rsid w:val="00FA4E4F"/>
    <w:rsid w:val="00FB2E1B"/>
    <w:rsid w:val="00FB5116"/>
    <w:rsid w:val="00FB5E65"/>
    <w:rsid w:val="00FC1387"/>
    <w:rsid w:val="00FC15F7"/>
    <w:rsid w:val="00FC33D8"/>
    <w:rsid w:val="00FD4599"/>
    <w:rsid w:val="00FD47C1"/>
    <w:rsid w:val="00FD5363"/>
    <w:rsid w:val="00FE133A"/>
    <w:rsid w:val="00FE2A78"/>
    <w:rsid w:val="00FF019E"/>
    <w:rsid w:val="00FF248D"/>
    <w:rsid w:val="00FF5ABB"/>
    <w:rsid w:val="00FF69AC"/>
    <w:rsid w:val="00FF768E"/>
    <w:rsid w:val="0E854749"/>
    <w:rsid w:val="194D63C2"/>
    <w:rsid w:val="459C1D93"/>
    <w:rsid w:val="4B001850"/>
    <w:rsid w:val="4F9C7263"/>
    <w:rsid w:val="5346712B"/>
    <w:rsid w:val="7C055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4"/>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5"/>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30"/>
    <w:qFormat/>
    <w:uiPriority w:val="0"/>
    <w:rPr>
      <w:rFonts w:ascii="Times New Roman" w:hAnsi="Times New Roman" w:eastAsia="宋体" w:cs="Times New Roman"/>
      <w:kern w:val="0"/>
      <w:szCs w:val="24"/>
    </w:rPr>
  </w:style>
  <w:style w:type="paragraph" w:styleId="7">
    <w:name w:val="Body Text Indent"/>
    <w:basedOn w:val="1"/>
    <w:link w:val="29"/>
    <w:qFormat/>
    <w:uiPriority w:val="0"/>
    <w:pPr>
      <w:ind w:firstLine="555"/>
    </w:pPr>
    <w:rPr>
      <w:rFonts w:ascii="Times New Roman" w:hAnsi="Times New Roman" w:eastAsia="宋体" w:cs="Times New Roman"/>
      <w:kern w:val="0"/>
      <w:sz w:val="24"/>
      <w:szCs w:val="24"/>
    </w:rPr>
  </w:style>
  <w:style w:type="paragraph" w:styleId="8">
    <w:name w:val="Plain Text"/>
    <w:basedOn w:val="1"/>
    <w:link w:val="36"/>
    <w:qFormat/>
    <w:uiPriority w:val="0"/>
    <w:rPr>
      <w:rFonts w:ascii="宋体" w:hAnsi="Courier New" w:eastAsia="宋体" w:cs="Courier New"/>
      <w:sz w:val="24"/>
      <w:szCs w:val="21"/>
    </w:rPr>
  </w:style>
  <w:style w:type="paragraph" w:styleId="9">
    <w:name w:val="Date"/>
    <w:basedOn w:val="1"/>
    <w:next w:val="1"/>
    <w:link w:val="51"/>
    <w:unhideWhenUsed/>
    <w:qFormat/>
    <w:uiPriority w:val="0"/>
    <w:pPr>
      <w:ind w:left="100" w:leftChars="2500"/>
    </w:pPr>
    <w:rPr>
      <w:rFonts w:eastAsia="宋体"/>
      <w:sz w:val="24"/>
    </w:rPr>
  </w:style>
  <w:style w:type="paragraph" w:styleId="10">
    <w:name w:val="Body Text Indent 2"/>
    <w:basedOn w:val="1"/>
    <w:link w:val="28"/>
    <w:qFormat/>
    <w:uiPriority w:val="0"/>
    <w:pPr>
      <w:spacing w:line="540" w:lineRule="exact"/>
      <w:ind w:firstLine="630"/>
    </w:pPr>
    <w:rPr>
      <w:rFonts w:ascii="Times New Roman" w:hAnsi="Times New Roman" w:eastAsia="宋体" w:cs="Times New Roman"/>
      <w:kern w:val="0"/>
      <w:sz w:val="24"/>
      <w:szCs w:val="24"/>
    </w:rPr>
  </w:style>
  <w:style w:type="paragraph" w:styleId="11">
    <w:name w:val="Balloon Text"/>
    <w:basedOn w:val="1"/>
    <w:link w:val="37"/>
    <w:semiHidden/>
    <w:qFormat/>
    <w:uiPriority w:val="0"/>
    <w:rPr>
      <w:rFonts w:ascii="Times New Roman" w:hAnsi="Times New Roman" w:eastAsia="宋体" w:cs="Times New Roman"/>
      <w:kern w:val="0"/>
      <w:sz w:val="18"/>
      <w:szCs w:val="18"/>
    </w:rPr>
  </w:style>
  <w:style w:type="paragraph" w:styleId="12">
    <w:name w:val="footer"/>
    <w:basedOn w:val="1"/>
    <w:link w:val="26"/>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3">
    <w:name w:val="header"/>
    <w:basedOn w:val="1"/>
    <w:link w:val="2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4">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5">
    <w:name w:val="toc 2"/>
    <w:basedOn w:val="1"/>
    <w:next w:val="1"/>
    <w:unhideWhenUsed/>
    <w:qFormat/>
    <w:uiPriority w:val="39"/>
    <w:pPr>
      <w:ind w:left="420" w:leftChars="200"/>
    </w:pPr>
  </w:style>
  <w:style w:type="paragraph" w:styleId="16">
    <w:name w:val="Body Text 2"/>
    <w:basedOn w:val="1"/>
    <w:link w:val="31"/>
    <w:qFormat/>
    <w:uiPriority w:val="0"/>
    <w:pPr>
      <w:jc w:val="center"/>
    </w:pPr>
    <w:rPr>
      <w:rFonts w:ascii="Times New Roman" w:hAnsi="Times New Roman" w:eastAsia="宋体" w:cs="Times New Roman"/>
      <w:kern w:val="0"/>
      <w:szCs w:val="24"/>
    </w:rPr>
  </w:style>
  <w:style w:type="paragraph" w:styleId="17">
    <w:name w:val="index 1"/>
    <w:basedOn w:val="1"/>
    <w:next w:val="1"/>
    <w:semiHidden/>
    <w:qFormat/>
    <w:uiPriority w:val="0"/>
    <w:rPr>
      <w:rFonts w:ascii="Times New Roman" w:hAnsi="Times New Roman" w:eastAsia="宋体" w:cs="Times New Roman"/>
      <w:kern w:val="0"/>
      <w:sz w:val="24"/>
      <w:szCs w:val="24"/>
    </w:rPr>
  </w:style>
  <w:style w:type="table" w:styleId="19">
    <w:name w:val="Table Grid"/>
    <w:basedOn w:val="18"/>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page number"/>
    <w:basedOn w:val="20"/>
    <w:qFormat/>
    <w:uiPriority w:val="0"/>
    <w:rPr>
      <w:rFonts w:cs="Times New Roman"/>
    </w:rPr>
  </w:style>
  <w:style w:type="character" w:styleId="22">
    <w:name w:val="Hyperlink"/>
    <w:basedOn w:val="20"/>
    <w:qFormat/>
    <w:uiPriority w:val="99"/>
    <w:rPr>
      <w:rFonts w:cs="Times New Roman"/>
      <w:color w:val="0000FF"/>
      <w:u w:val="single"/>
    </w:rPr>
  </w:style>
  <w:style w:type="character" w:customStyle="1" w:styleId="23">
    <w:name w:val="标题 1 Char"/>
    <w:basedOn w:val="20"/>
    <w:link w:val="2"/>
    <w:uiPriority w:val="0"/>
    <w:rPr>
      <w:rFonts w:ascii="Times New Roman" w:hAnsi="Times New Roman" w:eastAsia="宋体" w:cs="Times New Roman"/>
      <w:b/>
      <w:bCs/>
      <w:kern w:val="44"/>
      <w:sz w:val="44"/>
      <w:szCs w:val="44"/>
    </w:rPr>
  </w:style>
  <w:style w:type="character" w:customStyle="1" w:styleId="24">
    <w:name w:val="标题 2 Char"/>
    <w:basedOn w:val="20"/>
    <w:link w:val="3"/>
    <w:qFormat/>
    <w:uiPriority w:val="0"/>
    <w:rPr>
      <w:rFonts w:ascii="Arial" w:hAnsi="Arial" w:eastAsia="黑体" w:cs="Times New Roman"/>
      <w:b/>
      <w:kern w:val="0"/>
      <w:sz w:val="32"/>
      <w:szCs w:val="20"/>
    </w:rPr>
  </w:style>
  <w:style w:type="character" w:customStyle="1" w:styleId="25">
    <w:name w:val="页眉 Char"/>
    <w:basedOn w:val="20"/>
    <w:link w:val="13"/>
    <w:qFormat/>
    <w:uiPriority w:val="0"/>
    <w:rPr>
      <w:rFonts w:ascii="Times New Roman" w:hAnsi="Times New Roman" w:eastAsia="宋体" w:cs="Times New Roman"/>
      <w:kern w:val="0"/>
      <w:sz w:val="18"/>
      <w:szCs w:val="18"/>
    </w:rPr>
  </w:style>
  <w:style w:type="character" w:customStyle="1" w:styleId="26">
    <w:name w:val="页脚 Char"/>
    <w:basedOn w:val="20"/>
    <w:link w:val="12"/>
    <w:qFormat/>
    <w:uiPriority w:val="0"/>
    <w:rPr>
      <w:rFonts w:ascii="Times New Roman" w:hAnsi="Times New Roman" w:eastAsia="宋体" w:cs="Times New Roman"/>
      <w:kern w:val="0"/>
      <w:sz w:val="18"/>
      <w:szCs w:val="18"/>
    </w:rPr>
  </w:style>
  <w:style w:type="paragraph" w:customStyle="1" w:styleId="27">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8">
    <w:name w:val="正文文本缩进 2 Char"/>
    <w:basedOn w:val="20"/>
    <w:link w:val="10"/>
    <w:qFormat/>
    <w:uiPriority w:val="0"/>
    <w:rPr>
      <w:rFonts w:ascii="Times New Roman" w:hAnsi="Times New Roman" w:eastAsia="宋体" w:cs="Times New Roman"/>
      <w:kern w:val="0"/>
      <w:sz w:val="24"/>
      <w:szCs w:val="24"/>
    </w:rPr>
  </w:style>
  <w:style w:type="character" w:customStyle="1" w:styleId="29">
    <w:name w:val="正文文本缩进 Char"/>
    <w:basedOn w:val="20"/>
    <w:link w:val="7"/>
    <w:qFormat/>
    <w:uiPriority w:val="0"/>
    <w:rPr>
      <w:rFonts w:ascii="Times New Roman" w:hAnsi="Times New Roman" w:eastAsia="宋体" w:cs="Times New Roman"/>
      <w:kern w:val="0"/>
      <w:sz w:val="24"/>
      <w:szCs w:val="24"/>
    </w:rPr>
  </w:style>
  <w:style w:type="character" w:customStyle="1" w:styleId="30">
    <w:name w:val="正文文本 Char"/>
    <w:basedOn w:val="20"/>
    <w:link w:val="6"/>
    <w:qFormat/>
    <w:uiPriority w:val="0"/>
    <w:rPr>
      <w:rFonts w:ascii="Times New Roman" w:hAnsi="Times New Roman" w:eastAsia="宋体" w:cs="Times New Roman"/>
      <w:kern w:val="0"/>
      <w:szCs w:val="24"/>
    </w:rPr>
  </w:style>
  <w:style w:type="character" w:customStyle="1" w:styleId="31">
    <w:name w:val="正文文本 2 Char"/>
    <w:basedOn w:val="20"/>
    <w:link w:val="16"/>
    <w:qFormat/>
    <w:uiPriority w:val="0"/>
    <w:rPr>
      <w:rFonts w:ascii="Times New Roman" w:hAnsi="Times New Roman" w:eastAsia="宋体" w:cs="Times New Roman"/>
      <w:kern w:val="0"/>
      <w:szCs w:val="24"/>
    </w:rPr>
  </w:style>
  <w:style w:type="paragraph" w:customStyle="1" w:styleId="32">
    <w:name w:val="样式1"/>
    <w:basedOn w:val="2"/>
    <w:qFormat/>
    <w:uiPriority w:val="0"/>
    <w:pPr>
      <w:spacing w:line="640" w:lineRule="exact"/>
      <w:jc w:val="center"/>
    </w:pPr>
    <w:rPr>
      <w:rFonts w:ascii="方正小标宋简体" w:hAnsi="华文中宋" w:eastAsia="方正小标宋简体"/>
      <w:b w:val="0"/>
    </w:rPr>
  </w:style>
  <w:style w:type="paragraph" w:customStyle="1" w:styleId="33">
    <w:name w:val="样式2"/>
    <w:basedOn w:val="2"/>
    <w:qFormat/>
    <w:uiPriority w:val="0"/>
    <w:pPr>
      <w:spacing w:line="640" w:lineRule="exact"/>
      <w:jc w:val="center"/>
    </w:pPr>
    <w:rPr>
      <w:rFonts w:ascii="方正小标宋简体" w:hAnsi="华文中宋" w:eastAsia="方正小标宋简体"/>
      <w:b w:val="0"/>
    </w:rPr>
  </w:style>
  <w:style w:type="paragraph" w:customStyle="1" w:styleId="34">
    <w:name w:val="样式3"/>
    <w:basedOn w:val="2"/>
    <w:qFormat/>
    <w:uiPriority w:val="0"/>
    <w:pPr>
      <w:spacing w:line="640" w:lineRule="exact"/>
      <w:jc w:val="center"/>
    </w:pPr>
    <w:rPr>
      <w:rFonts w:ascii="方正小标宋简体" w:hAnsi="华文中宋" w:eastAsia="方正小标宋简体"/>
      <w:b w:val="0"/>
    </w:rPr>
  </w:style>
  <w:style w:type="character" w:customStyle="1" w:styleId="35">
    <w:name w:val="文档结构图 Char"/>
    <w:basedOn w:val="20"/>
    <w:link w:val="5"/>
    <w:semiHidden/>
    <w:uiPriority w:val="0"/>
    <w:rPr>
      <w:rFonts w:ascii="Times New Roman" w:hAnsi="Times New Roman" w:eastAsia="宋体" w:cs="Times New Roman"/>
      <w:kern w:val="0"/>
      <w:sz w:val="24"/>
      <w:szCs w:val="24"/>
      <w:shd w:val="clear" w:color="auto" w:fill="000080"/>
    </w:rPr>
  </w:style>
  <w:style w:type="character" w:customStyle="1" w:styleId="36">
    <w:name w:val="纯文本 Char"/>
    <w:basedOn w:val="20"/>
    <w:link w:val="8"/>
    <w:qFormat/>
    <w:uiPriority w:val="0"/>
    <w:rPr>
      <w:rFonts w:ascii="宋体" w:hAnsi="Courier New" w:eastAsia="宋体" w:cs="Courier New"/>
      <w:sz w:val="24"/>
      <w:szCs w:val="21"/>
    </w:rPr>
  </w:style>
  <w:style w:type="character" w:customStyle="1" w:styleId="37">
    <w:name w:val="批注框文本 Char"/>
    <w:basedOn w:val="20"/>
    <w:link w:val="11"/>
    <w:semiHidden/>
    <w:qFormat/>
    <w:uiPriority w:val="0"/>
    <w:rPr>
      <w:rFonts w:ascii="Times New Roman" w:hAnsi="Times New Roman" w:eastAsia="宋体" w:cs="Times New Roman"/>
      <w:kern w:val="0"/>
      <w:sz w:val="18"/>
      <w:szCs w:val="18"/>
    </w:rPr>
  </w:style>
  <w:style w:type="paragraph" w:customStyle="1" w:styleId="38">
    <w:name w:val="列出段落1"/>
    <w:basedOn w:val="1"/>
    <w:link w:val="42"/>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9">
    <w:name w:val="1111111199999"/>
    <w:basedOn w:val="1"/>
    <w:link w:val="40"/>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40">
    <w:name w:val="1111111199999 Char"/>
    <w:link w:val="39"/>
    <w:qFormat/>
    <w:locked/>
    <w:uiPriority w:val="0"/>
    <w:rPr>
      <w:rFonts w:ascii="Times New Roman" w:hAnsi="Times New Roman" w:eastAsia="宋体" w:cs="Times New Roman"/>
      <w:kern w:val="0"/>
      <w:szCs w:val="20"/>
    </w:rPr>
  </w:style>
  <w:style w:type="character" w:customStyle="1" w:styleId="41">
    <w:name w:val="apple-style-span"/>
    <w:qFormat/>
    <w:uiPriority w:val="0"/>
  </w:style>
  <w:style w:type="character" w:customStyle="1" w:styleId="42">
    <w:name w:val="List Paragraph Char"/>
    <w:link w:val="38"/>
    <w:qFormat/>
    <w:locked/>
    <w:uiPriority w:val="0"/>
    <w:rPr>
      <w:rFonts w:ascii="Calibri" w:hAnsi="Calibri" w:eastAsia="宋体" w:cs="Times New Roman"/>
      <w:kern w:val="0"/>
      <w:sz w:val="22"/>
      <w:szCs w:val="20"/>
      <w:lang w:eastAsia="en-US"/>
    </w:rPr>
  </w:style>
  <w:style w:type="paragraph" w:customStyle="1" w:styleId="43">
    <w:name w:val="Char Char Char Char"/>
    <w:basedOn w:val="1"/>
    <w:qFormat/>
    <w:uiPriority w:val="0"/>
    <w:rPr>
      <w:rFonts w:ascii="Times New Roman" w:hAnsi="Times New Roman" w:eastAsia="宋体" w:cs="Times New Roman"/>
      <w:sz w:val="24"/>
      <w:szCs w:val="36"/>
    </w:rPr>
  </w:style>
  <w:style w:type="character" w:customStyle="1" w:styleId="44">
    <w:name w:val="Char Char4"/>
    <w:qFormat/>
    <w:locked/>
    <w:uiPriority w:val="0"/>
    <w:rPr>
      <w:rFonts w:ascii="宋体" w:hAnsi="Courier New" w:eastAsia="宋体"/>
      <w:kern w:val="2"/>
      <w:sz w:val="21"/>
      <w:lang w:bidi="ar-SA"/>
    </w:rPr>
  </w:style>
  <w:style w:type="character" w:customStyle="1" w:styleId="45">
    <w:name w:val="样式 (中文) 仿宋_GB2312 三号"/>
    <w:basedOn w:val="20"/>
    <w:qFormat/>
    <w:uiPriority w:val="0"/>
    <w:rPr>
      <w:rFonts w:hint="eastAsia" w:ascii="仿宋_GB2312" w:eastAsia="仿宋_GB2312"/>
      <w:sz w:val="32"/>
    </w:rPr>
  </w:style>
  <w:style w:type="character" w:customStyle="1" w:styleId="46">
    <w:name w:val="Char Char3"/>
    <w:basedOn w:val="20"/>
    <w:qFormat/>
    <w:locked/>
    <w:uiPriority w:val="0"/>
    <w:rPr>
      <w:rFonts w:ascii="宋体" w:hAnsi="宋体" w:eastAsia="宋体"/>
      <w:sz w:val="18"/>
      <w:szCs w:val="18"/>
      <w:lang w:val="en-US" w:eastAsia="zh-CN" w:bidi="ar-SA"/>
    </w:rPr>
  </w:style>
  <w:style w:type="paragraph" w:styleId="47">
    <w:name w:val="List Paragraph"/>
    <w:basedOn w:val="1"/>
    <w:qFormat/>
    <w:uiPriority w:val="34"/>
    <w:pPr>
      <w:widowControl/>
      <w:spacing w:line="460" w:lineRule="exact"/>
      <w:ind w:firstLine="420" w:firstLineChars="200"/>
      <w:jc w:val="left"/>
    </w:pPr>
    <w:rPr>
      <w:rFonts w:ascii="Cambria" w:hAnsi="Cambria" w:eastAsia="仿宋" w:cs="Times New Roman"/>
      <w:kern w:val="20"/>
      <w:sz w:val="24"/>
      <w:szCs w:val="20"/>
    </w:rPr>
  </w:style>
  <w:style w:type="paragraph" w:customStyle="1" w:styleId="48">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 A"/>
    <w:qFormat/>
    <w:uiPriority w:val="0"/>
    <w:rPr>
      <w:rFonts w:ascii="Times New Roman" w:hAnsi="Times New Roman" w:eastAsia="ヒラギノ角ゴ Pro W3" w:cs="Times New Roman"/>
      <w:color w:val="000000"/>
      <w:kern w:val="0"/>
      <w:sz w:val="24"/>
      <w:szCs w:val="20"/>
      <w:lang w:val="en-US" w:eastAsia="zh-CN" w:bidi="ar-SA"/>
    </w:rPr>
  </w:style>
  <w:style w:type="paragraph" w:customStyle="1" w:styleId="50">
    <w:name w:val="正文文本缩进 21"/>
    <w:qFormat/>
    <w:uiPriority w:val="0"/>
    <w:pPr>
      <w:spacing w:after="120" w:line="480" w:lineRule="auto"/>
      <w:ind w:left="420"/>
    </w:pPr>
    <w:rPr>
      <w:rFonts w:ascii="Times New Roman" w:hAnsi="Times New Roman" w:eastAsia="ヒラギノ角ゴ Pro W3" w:cs="Times New Roman"/>
      <w:color w:val="000000"/>
      <w:kern w:val="0"/>
      <w:sz w:val="24"/>
      <w:szCs w:val="20"/>
      <w:lang w:val="en-US" w:eastAsia="zh-CN" w:bidi="ar-SA"/>
    </w:rPr>
  </w:style>
  <w:style w:type="character" w:customStyle="1" w:styleId="51">
    <w:name w:val="日期 Char"/>
    <w:basedOn w:val="20"/>
    <w:link w:val="9"/>
    <w:qFormat/>
    <w:uiPriority w:val="0"/>
    <w:rPr>
      <w:rFonts w:eastAsia="宋体"/>
      <w:sz w:val="24"/>
    </w:rPr>
  </w:style>
  <w:style w:type="table" w:customStyle="1" w:styleId="52">
    <w:name w:val="网格型52"/>
    <w:basedOn w:val="18"/>
    <w:unhideWhenUsed/>
    <w:qFormat/>
    <w:uiPriority w:val="5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53">
    <w:name w:val="网格型72"/>
    <w:basedOn w:val="18"/>
    <w:unhideWhenUsed/>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133F7E-46DD-401D-BAB3-83B3A6E03D4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51</Pages>
  <Words>3390</Words>
  <Characters>19325</Characters>
  <Lines>161</Lines>
  <Paragraphs>45</Paragraphs>
  <TotalTime>10261</TotalTime>
  <ScaleCrop>false</ScaleCrop>
  <LinksUpToDate>false</LinksUpToDate>
  <CharactersWithSpaces>22670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2016-06-29T06:49:00Z</dcterms:created>
  <dc:creator>Administrator</dc:creator>
  <cp:lastModifiedBy>Administrator</cp:lastModifiedBy>
  <cp:lastPrinted>2020-08-03T09:19:00Z</cp:lastPrinted>
  <dcterms:modified xsi:type="dcterms:W3CDTF">2020-10-27T09:01:26Z</dcterms:modified>
  <cp:revision>347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