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 xml:space="preserve">基础设备 </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2020-JL13（03）-W10007</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基础设备</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b/>
          <w:bCs/>
          <w:kern w:val="0"/>
          <w:sz w:val="28"/>
          <w:szCs w:val="28"/>
          <w:lang w:eastAsia="zh-CN"/>
        </w:rPr>
        <w:t>（第二次）</w:t>
      </w:r>
      <w:r>
        <w:rPr>
          <w:rFonts w:hint="eastAsia" w:ascii="Tahoma" w:hAnsi="Tahoma" w:cs="Tahoma"/>
          <w:kern w:val="0"/>
          <w:sz w:val="28"/>
          <w:szCs w:val="28"/>
          <w:lang w:eastAsia="zh-CN"/>
        </w:rPr>
        <w:t>2020-JL13（03）-W10007</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基础设备</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2020-JL13（03）-W10007</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14"/>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呼吸机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推注泵</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双相手动除颤仪</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心电监护仪</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5</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输液泵</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6</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心电图机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42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kern w:val="0"/>
          <w:sz w:val="24"/>
          <w:szCs w:val="24"/>
          <w:lang w:eastAsia="zh-CN"/>
        </w:rPr>
        <w:t>五</w:t>
      </w:r>
      <w:r>
        <w:rPr>
          <w:rFonts w:hint="eastAsia" w:cs="Times New Roman" w:asciiTheme="minorEastAsia" w:hAnsiTheme="minorEastAsia"/>
          <w:b/>
          <w:kern w:val="0"/>
          <w:sz w:val="24"/>
          <w:szCs w:val="24"/>
        </w:rPr>
        <w:t>、招标</w:t>
      </w:r>
      <w:r>
        <w:rPr>
          <w:rFonts w:cs="Times New Roman" w:asciiTheme="minorEastAsia" w:hAnsiTheme="minorEastAsia"/>
          <w:b/>
          <w:kern w:val="0"/>
          <w:sz w:val="24"/>
          <w:szCs w:val="24"/>
        </w:rPr>
        <w:t>文</w:t>
      </w:r>
      <w:r>
        <w:rPr>
          <w:rFonts w:cs="Times New Roman" w:asciiTheme="minorEastAsia" w:hAnsiTheme="minorEastAsia"/>
          <w:b/>
          <w:color w:val="auto"/>
          <w:kern w:val="0"/>
          <w:sz w:val="24"/>
          <w:szCs w:val="24"/>
        </w:rPr>
        <w:t>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10</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4</w:t>
      </w:r>
      <w:bookmarkStart w:id="24" w:name="_GoBack"/>
      <w:bookmarkEnd w:id="24"/>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color w:val="auto"/>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9.</w:t>
      </w:r>
      <w:r>
        <w:rPr>
          <w:rFonts w:hint="eastAsia"/>
          <w:color w:val="auto"/>
        </w:rPr>
        <w:t xml:space="preserve"> </w:t>
      </w:r>
      <w:r>
        <w:rPr>
          <w:rFonts w:hint="eastAsia" w:cs="Times New Roman" w:asciiTheme="minorEastAsia" w:hAnsiTheme="minorEastAsia"/>
          <w:color w:val="auto"/>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六</w:t>
      </w:r>
      <w:r>
        <w:rPr>
          <w:rFonts w:hint="eastAsia" w:cs="Times New Roman" w:asciiTheme="minorEastAsia" w:hAnsiTheme="minorEastAsia"/>
          <w:b/>
          <w:color w:val="auto"/>
          <w:kern w:val="0"/>
          <w:sz w:val="24"/>
          <w:szCs w:val="24"/>
        </w:rPr>
        <w:t>、投标开始和截止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11</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lang w:val="en-US" w:eastAsia="zh-CN"/>
        </w:rPr>
        <w:t>20</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20</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20</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八</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（www.plap.cn）、</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023-68766148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2020 年 </w:t>
      </w:r>
      <w:r>
        <w:rPr>
          <w:rFonts w:hint="eastAsia" w:cs="Times New Roman" w:asciiTheme="minorEastAsia" w:hAnsiTheme="minorEastAsia"/>
          <w:color w:val="auto"/>
          <w:kern w:val="0"/>
          <w:sz w:val="24"/>
          <w:szCs w:val="24"/>
          <w:lang w:val="en-US" w:eastAsia="zh-CN"/>
        </w:rPr>
        <w:t>10</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29</w:t>
      </w:r>
      <w:r>
        <w:rPr>
          <w:rFonts w:hint="eastAsia" w:cs="Times New Roman" w:asciiTheme="minorEastAsia" w:hAnsiTheme="minorEastAsia"/>
          <w:color w:val="auto"/>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90713967"/>
      <w:bookmarkStart w:id="5" w:name="_Toc37172688"/>
      <w:bookmarkStart w:id="6" w:name="_Toc435540979"/>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呼吸机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推注泵</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双相手动除颤仪</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心电监护仪</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输液泵</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心电图机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lang w:eastAsia="zh-CN"/>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基础设备</w:t>
      </w:r>
      <w:r>
        <w:rPr>
          <w:rFonts w:hint="eastAsia" w:ascii="宋体" w:hAnsi="宋体" w:eastAsia="宋体" w:cs="宋体"/>
          <w:bCs/>
          <w:kern w:val="0"/>
          <w:sz w:val="32"/>
          <w:szCs w:val="32"/>
        </w:rPr>
        <w:t>技术要求</w:t>
      </w:r>
    </w:p>
    <w:tbl>
      <w:tblPr>
        <w:tblStyle w:val="17"/>
        <w:tblW w:w="8830" w:type="dxa"/>
        <w:tblInd w:w="209" w:type="dxa"/>
        <w:tblLayout w:type="fixed"/>
        <w:tblCellMar>
          <w:top w:w="0" w:type="dxa"/>
          <w:left w:w="108" w:type="dxa"/>
          <w:bottom w:w="0" w:type="dxa"/>
          <w:right w:w="108" w:type="dxa"/>
        </w:tblCellMar>
      </w:tblPr>
      <w:tblGrid>
        <w:gridCol w:w="1176"/>
        <w:gridCol w:w="1302"/>
        <w:gridCol w:w="5359"/>
        <w:gridCol w:w="993"/>
      </w:tblGrid>
      <w:tr>
        <w:tblPrEx>
          <w:tblCellMar>
            <w:top w:w="0" w:type="dxa"/>
            <w:left w:w="108" w:type="dxa"/>
            <w:bottom w:w="0" w:type="dxa"/>
            <w:right w:w="108" w:type="dxa"/>
          </w:tblCellMar>
        </w:tblPrEx>
        <w:trPr>
          <w:trHeight w:val="478" w:hRule="atLeast"/>
        </w:trPr>
        <w:tc>
          <w:tcPr>
            <w:tcW w:w="11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5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3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呼吸机</w:t>
            </w:r>
          </w:p>
        </w:tc>
        <w:tc>
          <w:tcPr>
            <w:tcW w:w="5359"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支持成人、儿童呼吸机支持，气动电控，至少10.4”高分辨率一体化TFT彩色大屏幕显示；具有大气压自动校正、同步雾化、、可更改默认参数的紧急启动、、氧浓度监测、后备电池。</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通气模式：VCV、VC－SIMV、VC－SIMV＋PSV、PSV、CPAP；压力保护型通气模式：PCV、PC－SIMV、PC－SIMV＋PSV、PSV、CPAP；潮气量：50ml～1500ml；呼吸频率：4～100bpm；吸气时间：0.1～12s；屏气时间：0～4s；压力支持水平：0～60cmH2O；压力控制水平：5cmH2O～60cmH2O；压力触发灵敏度：-20～ 0cmH2O；流速触发灵敏度：0.5~20LPM；PEEP/CPAP：0～40cmH2O；FiO2调节：21%～100%连续可调。</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可监测吸入潮气量、呼出潮气量、总计呼吸频率、自主呼吸频率、分钟通气量、自主呼吸分钟通气量、气道峰值压力、气道平均压力、气道平台压、呼吸末正压、氧浓度，吸呼比，肺顺应性（静态）、气道阻力、Auto－PEEP；流量波形、压力波形、容量波形、压力容量环、流速容量环。</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4.报警含氧气不足、空气不足、分钟通气量上限、分钟通气量下限、呼气潮气量超限、自主呼吸频率超限、气道压力上限、气道压力下限、窒息、交流电源断电、氧浓度上限、氧浓度下限、电池电量低、持续气道压高、具有报警回顾功能。</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71"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302"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推注泵</w:t>
            </w:r>
          </w:p>
        </w:tc>
        <w:tc>
          <w:tcPr>
            <w:tcW w:w="5359"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Times New Roman" w:asciiTheme="minorEastAsia" w:hAnsiTheme="minorEastAsia"/>
                <w:kern w:val="0"/>
                <w:sz w:val="24"/>
                <w:szCs w:val="24"/>
                <w:lang w:val="zh-CN"/>
              </w:rPr>
              <w:t>▲</w:t>
            </w:r>
            <w:r>
              <w:rPr>
                <w:rFonts w:hint="eastAsia" w:ascii="宋体" w:hAnsi="宋体" w:eastAsia="宋体" w:cs="宋体"/>
                <w:i w:val="0"/>
                <w:color w:val="000000"/>
                <w:kern w:val="0"/>
                <w:sz w:val="20"/>
                <w:szCs w:val="20"/>
                <w:u w:val="none"/>
                <w:lang w:val="en-US" w:eastAsia="zh-CN" w:bidi="ar"/>
              </w:rPr>
              <w:t>双通道一体机，可以分速输注；注射器品牌尺寸标注系统、速度自动校准方法和系统、滑块控制结构及含有该滑块控制结构的注射泵推进装置（提供证书）；内置电池充电12小时以上，可连续工作超过6小时。</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自动识别10ml、20ml、30ml、50ml注射器规格，注射速率：10ml：0.1ml/h—400ml/h， 20ml：0.1ml/h—600ml/h， 30ml：0.1ml/h—900ml/h，50ml：0.1ml/h—1500ml/h。</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注射精度：≤±2% （泵本身机械精度≤±1%）；在不暂停注射情况下，可以调整注射速度；具有三档阻塞报警阀选择：高800±200mm汞柱、中500±100mm汞柱、 低300±100mm汞柱。</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4.报警包含“管路阻塞”、“残留提示”、“注射完毕”、“注射器压杆安装错误”等；可设置开机后保存上次的参数速度或者开机显示速度清零两种可选。</w:t>
            </w:r>
          </w:p>
        </w:tc>
        <w:tc>
          <w:tcPr>
            <w:tcW w:w="993"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0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双相手动除颤仪</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Times New Roman" w:asciiTheme="minorEastAsia" w:hAnsiTheme="minorEastAsia"/>
                <w:kern w:val="0"/>
                <w:sz w:val="24"/>
                <w:szCs w:val="24"/>
                <w:lang w:val="zh-CN"/>
              </w:rPr>
              <w:t>▲</w:t>
            </w:r>
            <w:r>
              <w:rPr>
                <w:rFonts w:hint="eastAsia" w:ascii="宋体" w:hAnsi="宋体" w:eastAsia="宋体" w:cs="宋体"/>
                <w:i w:val="0"/>
                <w:color w:val="000000"/>
                <w:kern w:val="0"/>
                <w:sz w:val="20"/>
                <w:szCs w:val="20"/>
                <w:u w:val="none"/>
                <w:lang w:val="en-US" w:eastAsia="zh-CN" w:bidi="ar"/>
              </w:rPr>
              <w:t>低能量智能双相截顶波，根据病人阻抗调整除颤波形，保持最有效的经心电流；标配手动除颤、AED和同步电复律功能；除颤能量的最高能量≤200J，手动除颤能量最小是1J；每次充电到除颤仪标识的最高能量时间≤ 6秒，在AED成人模式下，固定能量的选择≤160J；具有快速电击技术，启动AED模式到通电完成时间≤ 8秒。</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显示屏≥7寸高分辨率彩色TFT显示屏；AED功能具备一键切换成人及婴幼儿儿童模式；成人、儿童一体化除颤电极板，具备胸壁阻抗接触指示灯；可进行持续心电监护，可识别≥9种常见的心率/心律失常报警，有心率快/心率慢、心搏停止、室颤/室速、室速、极度心动过速、室性早搏心率、起搏器未夺获、起搏器未起搏；具备事件标记功能。</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电池使用时间≥2.5小时；重复充电锂电池，≥100 次最高能量充电/电击；具有快速充电技术，≤2小时可充电到80%，≤3小时充电到100%。</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主机具备智能关机自检功能，在关机状态下，无需接上交流电源，主机仍可进行自动检测；具有每小时、每天、每周定期自检功能。</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内部事件总结可在每份事件总结中存储≥ 8 小时的2 条持续 ECG波形；最多可存储≥50个时长约30分钟的事件概要；记录仪可配置为自动打印标记的事件、充电、电击和报警；报告事件总结、生命体征趋势、操作检验、配置、状态记录和设备信息。</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6.整机重量≤6.5KG；防水/防固体渗入等级≥IP54。</w:t>
            </w:r>
          </w:p>
        </w:tc>
        <w:tc>
          <w:tcPr>
            <w:tcW w:w="993" w:type="dxa"/>
            <w:tcBorders>
              <w:top w:val="nil"/>
              <w:left w:val="nil"/>
              <w:bottom w:val="single" w:color="auto" w:sz="4" w:space="0"/>
              <w:right w:val="single" w:color="auto" w:sz="8" w:space="0"/>
            </w:tcBorders>
            <w:vAlign w:val="center"/>
          </w:tcPr>
          <w:p>
            <w:pPr>
              <w:widowControl/>
              <w:adjustRightInd w:val="0"/>
              <w:snapToGrid w:val="0"/>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心电监护仪</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4"/>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显示屏：尺寸≥12”，可外接显示器，同时观察波形≥8通道，触屏；标准配置含心电、呼吸、无创血压、血氧饱和度(、脉率、双体温。可选配置：12导心电、有创压力、主流\旁流呼末二氧化碳、微流呼末二氧化碳、麻醉气体、脑电双频指数。</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r>
              <w:rPr>
                <w:rFonts w:hint="eastAsia" w:cs="Times New Roman" w:asciiTheme="minorEastAsia" w:hAnsiTheme="minorEastAsia"/>
                <w:kern w:val="0"/>
                <w:sz w:val="24"/>
                <w:szCs w:val="24"/>
                <w:lang w:val="zh-CN"/>
              </w:rPr>
              <w:t>▲</w:t>
            </w:r>
            <w:r>
              <w:rPr>
                <w:rFonts w:hint="eastAsia" w:ascii="宋体" w:hAnsi="宋体" w:eastAsia="宋体" w:cs="宋体"/>
                <w:i w:val="0"/>
                <w:color w:val="000000"/>
                <w:kern w:val="0"/>
                <w:sz w:val="20"/>
                <w:szCs w:val="20"/>
                <w:u w:val="none"/>
                <w:lang w:val="en-US" w:eastAsia="zh-CN" w:bidi="ar"/>
              </w:rPr>
              <w:t>标配心律失常种类≥23种，包括“房颤”等高级分析功能。 标配 QT/QTc 分析功能。具有最多12导ST分析功能；提供ST-MAP，直观反映心肌缺血或心梗情况；具备动态血压分析功能，可自动统计分析24小时内血压变化，制作直方图，具有收缩压和舒张压的血压差报警功能；标配灌注指数 (PI) 的进口血氧技术，标配指套式血氧传感器，血氧脉率范围30-300bpm；可选配主流/旁流EtCO2模块或微流EtCO2模块 主流/旁流EtCO2模块：实现在一个模块上的两种技术切换； ，可适用于新生儿，可支持综合肺功能指数。</w:t>
            </w:r>
          </w:p>
          <w:p>
            <w:pPr>
              <w:keepNext w:val="0"/>
              <w:keepLines w:val="0"/>
              <w:widowControl/>
              <w:numPr>
                <w:ilvl w:val="0"/>
                <w:numId w:val="0"/>
              </w:numPr>
              <w:suppressLineNumbers w:val="0"/>
              <w:jc w:val="left"/>
              <w:textAlignment w:val="center"/>
              <w:rPr>
                <w:rStyle w:val="48"/>
                <w:lang w:val="en-US" w:eastAsia="zh-CN" w:bidi="ar"/>
              </w:rPr>
            </w:pPr>
            <w:r>
              <w:rPr>
                <w:rFonts w:hint="eastAsia" w:ascii="宋体" w:hAnsi="宋体" w:eastAsia="宋体" w:cs="宋体"/>
                <w:i w:val="0"/>
                <w:color w:val="000000"/>
                <w:kern w:val="0"/>
                <w:sz w:val="20"/>
                <w:szCs w:val="20"/>
                <w:u w:val="none"/>
                <w:lang w:val="en-US" w:eastAsia="zh-CN" w:bidi="ar"/>
              </w:rPr>
              <w:t>3.无需存储卡或中央站，可储存≥24小时全息波形；标配的HL7数据输出，标配VGA输出接口、护士呼叫接口和除颤同步输出和USB接口；具备记录仪，可打印波形通道≥3通道；可选配有创压力、脑电双频指数等。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输液泵</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5"/>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双屏幕设计：显示速度、预置量、累积量、输液器品牌、输液器规格、输液模式、压力档、压力动态显示。</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Times New Roman" w:asciiTheme="minorEastAsia" w:hAnsiTheme="minorEastAsia"/>
                <w:kern w:val="0"/>
                <w:sz w:val="24"/>
                <w:szCs w:val="24"/>
                <w:lang w:val="zh-CN"/>
              </w:rPr>
              <w:t>▲</w:t>
            </w:r>
            <w:r>
              <w:rPr>
                <w:rFonts w:hint="eastAsia" w:ascii="宋体" w:hAnsi="宋体" w:eastAsia="宋体" w:cs="宋体"/>
                <w:i w:val="0"/>
                <w:color w:val="000000"/>
                <w:kern w:val="0"/>
                <w:sz w:val="20"/>
                <w:szCs w:val="20"/>
                <w:u w:val="none"/>
                <w:lang w:val="en-US" w:eastAsia="zh-CN" w:bidi="ar"/>
              </w:rPr>
              <w:t>带有车载电源DC12V接口、护士呼叫接口、标准R232接口、USB接口、直流输出接口用于供电给输液输血加温器等设备。</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输液速率设定：滴/min、ml/h、时间/容量三种；具有10滴/ml、15滴/ml、18滴/ml、 20滴/ml、60滴/ml五种规格以上输液器参数；流速1-1500ml/h，点滴1-200滴。</w:t>
            </w:r>
          </w:p>
          <w:p>
            <w:pPr>
              <w:keepNext w:val="0"/>
              <w:keepLines w:val="0"/>
              <w:widowControl/>
              <w:numPr>
                <w:ilvl w:val="0"/>
                <w:numId w:val="5"/>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Times New Roman" w:asciiTheme="minorEastAsia" w:hAnsiTheme="minorEastAsia"/>
                <w:kern w:val="0"/>
                <w:sz w:val="24"/>
                <w:szCs w:val="24"/>
                <w:lang w:val="zh-CN"/>
              </w:rPr>
              <w:t>▲</w:t>
            </w:r>
            <w:r>
              <w:rPr>
                <w:rFonts w:hint="eastAsia" w:ascii="宋体" w:hAnsi="宋体" w:eastAsia="宋体" w:cs="宋体"/>
                <w:i w:val="0"/>
                <w:color w:val="000000"/>
                <w:kern w:val="0"/>
                <w:sz w:val="20"/>
                <w:szCs w:val="20"/>
                <w:u w:val="none"/>
                <w:lang w:val="en-US" w:eastAsia="zh-CN" w:bidi="ar"/>
              </w:rPr>
              <w:t>报警包含超时、输液器未校准提示、管路阻塞、管路气泡、泵门未关闭、输液完毕等，报警音量可调，输液器标定功能，适配所有品牌输液器；在不暂停输液的情况下，可以通过按键键调整输液速度。</w:t>
            </w:r>
          </w:p>
          <w:p>
            <w:pPr>
              <w:keepNext w:val="0"/>
              <w:keepLines w:val="0"/>
              <w:widowControl/>
              <w:numPr>
                <w:ilvl w:val="0"/>
                <w:numId w:val="0"/>
              </w:numPr>
              <w:suppressLineNumbers w:val="0"/>
              <w:ind w:leftChars="0"/>
              <w:jc w:val="left"/>
              <w:textAlignment w:val="center"/>
              <w:rPr>
                <w:rStyle w:val="48"/>
                <w:lang w:val="en-US" w:eastAsia="zh-CN" w:bidi="ar"/>
              </w:rPr>
            </w:pPr>
            <w:r>
              <w:rPr>
                <w:rFonts w:hint="eastAsia" w:ascii="宋体" w:hAnsi="宋体" w:eastAsia="宋体" w:cs="宋体"/>
                <w:i w:val="0"/>
                <w:color w:val="000000"/>
                <w:kern w:val="0"/>
                <w:sz w:val="20"/>
                <w:szCs w:val="20"/>
                <w:u w:val="none"/>
                <w:lang w:val="en-US" w:eastAsia="zh-CN" w:bidi="ar"/>
              </w:rPr>
              <w:t>5.在液晶屏上可查询500条历史输液信息，显示输液日期、开始时间、停止时间、速度、预置量、累计量、报警状态等。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kern w:val="0"/>
                <w:szCs w:val="21"/>
              </w:rPr>
            </w:pPr>
            <w:r>
              <w:rPr>
                <w:rFonts w:hint="eastAsia" w:ascii="宋体" w:hAnsi="宋体" w:eastAsia="宋体" w:cs="宋体"/>
                <w:i w:val="0"/>
                <w:color w:val="000000"/>
                <w:kern w:val="0"/>
                <w:sz w:val="20"/>
                <w:szCs w:val="20"/>
                <w:u w:val="none"/>
                <w:lang w:val="en-US" w:eastAsia="zh-CN" w:bidi="ar"/>
              </w:rPr>
              <w:t>6</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Cs w:val="21"/>
              </w:rPr>
            </w:pPr>
            <w:r>
              <w:rPr>
                <w:rFonts w:hint="eastAsia" w:ascii="宋体" w:hAnsi="宋体" w:eastAsia="宋体" w:cs="宋体"/>
                <w:i w:val="0"/>
                <w:color w:val="000000"/>
                <w:kern w:val="0"/>
                <w:sz w:val="20"/>
                <w:szCs w:val="20"/>
                <w:u w:val="none"/>
                <w:lang w:val="en-US" w:eastAsia="zh-CN" w:bidi="ar"/>
              </w:rPr>
              <w:t>心电图机</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6"/>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cs="Times New Roman" w:asciiTheme="minorEastAsia" w:hAnsiTheme="minorEastAsia"/>
                <w:kern w:val="0"/>
                <w:sz w:val="24"/>
                <w:szCs w:val="24"/>
                <w:lang w:val="zh-CN"/>
              </w:rPr>
              <w:t>▲</w:t>
            </w:r>
            <w:r>
              <w:rPr>
                <w:rFonts w:hint="eastAsia" w:ascii="宋体" w:hAnsi="宋体" w:eastAsia="宋体" w:cs="宋体"/>
                <w:i w:val="0"/>
                <w:color w:val="000000"/>
                <w:kern w:val="0"/>
                <w:sz w:val="20"/>
                <w:szCs w:val="20"/>
                <w:u w:val="none"/>
                <w:lang w:val="en-US" w:eastAsia="zh-CN" w:bidi="ar"/>
              </w:rPr>
              <w:t>心电输入 12 导联同步采集，采样率 ≥8000 Hz/通道，噪声 ≤15 μVp-p，模数转换精度 ≥12 bit 或≤2.5 μV，基线漂移滤波 0.05, 0.15, 0.5；显示导联数 同屏12 导联，每导联显示≥5s；可任选10 秒标准12 导联报告或1 分钟节律；内置心电动态波形供演示和教学。</w:t>
            </w:r>
          </w:p>
          <w:p>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cs="Times New Roman" w:asciiTheme="minorEastAsia" w:hAnsiTheme="minorEastAsia"/>
                <w:kern w:val="0"/>
                <w:sz w:val="24"/>
                <w:szCs w:val="24"/>
                <w:lang w:val="zh-CN"/>
              </w:rPr>
              <w:t>▲</w:t>
            </w:r>
            <w:r>
              <w:rPr>
                <w:rFonts w:hint="eastAsia" w:ascii="宋体" w:hAnsi="宋体" w:eastAsia="宋体" w:cs="宋体"/>
                <w:i w:val="0"/>
                <w:color w:val="000000"/>
                <w:kern w:val="0"/>
                <w:sz w:val="20"/>
                <w:szCs w:val="20"/>
                <w:u w:val="none"/>
                <w:lang w:val="en-US" w:eastAsia="zh-CN" w:bidi="ar"/>
              </w:rPr>
              <w:t>可显示患者信息、日期、心率、网络状态、电池状态、心电波形、导联名称等；系统菜单可快速调出导联图、快速设置等；内置打印机 高分辨率数字阵列打印机，打印患者信息、测量参数、分析报告、日期和时间、走纸速度、导联名称、心电波形等。</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3.走纸速度 5、 10、 25、 50 mm/s；重量： ≤2.6Kg，内置提手；可连续工作600 分钟以上；导出PDF 贮存容量 ≥3000 份，外部贮存 U 盘及网盘；至少支持左右手接反及相隔胸导联接错提示。</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75" w:hRule="atLeast"/>
        </w:trPr>
        <w:tc>
          <w:tcPr>
            <w:tcW w:w="2478" w:type="dxa"/>
            <w:gridSpan w:val="2"/>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售后服务</w:t>
            </w:r>
          </w:p>
        </w:tc>
        <w:tc>
          <w:tcPr>
            <w:tcW w:w="5359"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24</w:t>
            </w:r>
            <w:r>
              <w:rPr>
                <w:rFonts w:hint="eastAsia" w:ascii="宋体" w:hAnsi="宋体" w:eastAsia="宋体" w:cs="宋体"/>
                <w:kern w:val="0"/>
                <w:szCs w:val="21"/>
              </w:rPr>
              <w:t>小时（外地）</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10</w:t>
            </w:r>
            <w:r>
              <w:rPr>
                <w:rFonts w:hint="eastAsia" w:ascii="宋体" w:hAnsi="宋体" w:eastAsia="宋体" w:cs="宋体"/>
                <w:kern w:val="0"/>
                <w:szCs w:val="21"/>
              </w:rPr>
              <w:t>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78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w:t>
            </w:r>
          </w:p>
        </w:tc>
        <w:tc>
          <w:tcPr>
            <w:tcW w:w="130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5359"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5</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提供详细操作手册、维修保养手册、安装手册等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6</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7</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8</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9</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37172689"/>
      <w:bookmarkStart w:id="10" w:name="_Toc285612601"/>
      <w:bookmarkStart w:id="11" w:name="_Toc240432230"/>
      <w:bookmarkStart w:id="12" w:name="_Toc390713968"/>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（www.plap.cn）、</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呼吸机</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1.支持成人、儿童呼吸机支持，气动电控，至少10.4”高分辨率一体化TFT彩色大屏幕显示；具有大气压自动校正、同步雾化、、可更改默认参数的紧急启动、、氧浓度监测、后备电池。</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通气模式：VCV、VC－SIMV、VC－SIMV＋PSV、PSV、CPAP；压力保护型通气模式：PCV、PC－SIMV、PC－SIMV＋PSV、PSV、CPAP；潮气量：50ml～1500ml；呼吸频率：4～100bpm；吸气时间：0.1～12s；屏气时间：0～4s；压力支持水平：0～60cmH2O；压力控制水平：5cmH2O～60cmH2O；压力触发灵敏度：-20～ 0cmH2O；流速触发灵敏度：0.5~20LPM；PEEP/CPAP：0～40cmH2O；FiO2调节：21%～100%连续可调。</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可监测吸入潮气量、呼出潮气量、总计呼吸频率、自主呼吸频率、分钟通气量、自主呼吸分钟通气量、气道峰值压力、气道平均压力、气道平台压、呼吸末正压、氧浓度，吸呼比，肺顺应性（静态）、气道阻力、Auto－PEEP；流量波形、压力波形、容量波形、压力容量环、流速容量环。</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4.报警含氧气不足、空气不足、分钟通气量上限、分钟通气量下限、呼气潮气量超限、自主呼吸频率超限、气道压力上限、气道压力下限、窒息、交流电源断电、氧浓度上限、氧浓度下限、电池电量低、持续气道压高、具有报警回顾功能。</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b/>
                <w:bCs/>
                <w:kern w:val="0"/>
                <w:sz w:val="20"/>
                <w:szCs w:val="21"/>
              </w:rPr>
              <w:t>推注泵</w:t>
            </w:r>
          </w:p>
        </w:tc>
        <w:tc>
          <w:tcPr>
            <w:tcW w:w="708" w:type="dxa"/>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w:t>
            </w:r>
            <w:r>
              <w:rPr>
                <w:rFonts w:hint="eastAsia" w:cs="Times New Roman" w:asciiTheme="minorEastAsia" w:hAnsiTheme="minorEastAsia"/>
                <w:kern w:val="0"/>
                <w:sz w:val="24"/>
                <w:szCs w:val="24"/>
                <w:lang w:val="zh-CN"/>
              </w:rPr>
              <w:t>▲</w:t>
            </w:r>
            <w:r>
              <w:rPr>
                <w:rFonts w:hint="eastAsia" w:ascii="宋体" w:hAnsi="宋体" w:eastAsia="宋体" w:cs="宋体"/>
                <w:kern w:val="0"/>
                <w:sz w:val="20"/>
                <w:szCs w:val="21"/>
              </w:rPr>
              <w:t>双通道一体机，可以分速输注；注射器品牌尺寸标注系统、速度自动校准方法和系统、滑块控制结构及含有该滑块控制结构的注射泵推进装置（提供证书）；内置电池充电12小时以上，可连续工作超过6小时。</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2.自动识别10ml、20ml、30ml、50ml注射器规格，注射速率：10ml：0.1ml/h—400ml/h， 20ml：0.1ml/h—600ml/h， 30ml：0.1ml/h—900ml/h，50ml：0.1ml/h—1500ml/h。</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3.注射精度：≤±2% （泵本身机械精度≤±1%）；在不暂停注射情况下，可以调整注射速度；具有三档阻塞报警阀选择：高800±200mm汞柱、中500±100mm汞柱、 低300±100mm汞柱。</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4.报警包含“管路阻塞”、“残留提示”、“注射完毕”、“注射器压杆安装错误”等；可设置开机后保存上次的参数速度或者开机显示速度清零两种可选。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双相手动除颤仪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cs="Times New Roman" w:asciiTheme="minorEastAsia" w:hAnsiTheme="minorEastAsia"/>
                <w:kern w:val="0"/>
                <w:sz w:val="24"/>
                <w:szCs w:val="24"/>
                <w:lang w:val="zh-CN"/>
              </w:rPr>
              <w:t>▲</w:t>
            </w:r>
            <w:r>
              <w:rPr>
                <w:rFonts w:hint="eastAsia" w:ascii="宋体" w:hAnsi="宋体" w:eastAsia="宋体" w:cs="宋体"/>
                <w:kern w:val="0"/>
                <w:sz w:val="21"/>
                <w:szCs w:val="21"/>
              </w:rPr>
              <w:t>低能量智能双相截顶波，根据病人阻抗调整除颤波形，保持最有效的经心电流；标配手动除颤、AED和同步电复律功能；除颤能量的最高能量≤200J，手动除颤能量最小是1J；每次充电到除颤仪标识的最高能量时间≤ 6秒，在AED成人模式下，固定能量的选择≤160J；具有快速电击技术，启动AED模式到通电完成时间≤ 8秒。</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显示屏≥7寸高分辨率彩色TFT显示屏；AED功能具备一键切换成人及婴幼儿儿童模式；成人、儿童一体化除颤电极板，具备胸壁阻抗接触指示灯；可进行持续心电监护，可识别≥9种常见的心率/心律失常报警，有心率快/心率慢、心搏停止、室颤/室速、室速、极度心动过速、室性早搏心率、起搏器未夺获、起搏器未起搏；具备事件标记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3.电池使用时间≥2.5小时；重复充电锂电池，≥100 次最高能量充电/电击；具有快速充电技术，≤2小时可充电到80%，≤3小时充电到100%。</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4.主机具备智能关机自检功能，在关机状态下，无需接上交流电源，主机仍可进行自动检测；具有每小时、每天、每周定期自检功能。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5.内部事件总结可在每份事件总结中存储≥ 8 小时的2 条持续 ECG波形；最多可存储≥50个时长约30分钟的事件概要；记录仪可配置为自动打印标记的事件、充电、电击和报警；报告事件总结、生命体征趋势、操作检验、配置、状态记录和设备信息。</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6.整机重量≤6.5KG；防水/防固体渗入等级≥IP54。</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心电监护仪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显示屏：尺寸≥12”，可外接显示器，同时观察波形≥8通道，触屏；标准配置含心电、呼吸、无创血压、血氧饱和度(、脉率、双体温。可选配置：12导心电、有创压力、主流\旁流呼末二氧化碳、微流呼末二氧化碳、麻醉气体、脑电双频指数。</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cs="Times New Roman" w:asciiTheme="minorEastAsia" w:hAnsiTheme="minorEastAsia"/>
                <w:kern w:val="0"/>
                <w:sz w:val="24"/>
                <w:szCs w:val="24"/>
                <w:lang w:val="zh-CN"/>
              </w:rPr>
              <w:t>▲</w:t>
            </w:r>
            <w:r>
              <w:rPr>
                <w:rFonts w:hint="eastAsia" w:ascii="宋体" w:hAnsi="宋体" w:eastAsia="宋体" w:cs="宋体"/>
                <w:kern w:val="0"/>
                <w:sz w:val="21"/>
                <w:szCs w:val="21"/>
              </w:rPr>
              <w:t>标配心律失常种类≥23种，包括“房颤”等高级分析功能。 标配 QT/QTc 分析功能。具有最多12导ST分析功能；提供ST-MAP，直观反映心肌缺血或心梗情况；具备动态血压分析功能，可自动统计分析24小时内血压变化，制作直方图，具有收缩压和舒张压的血压差报警功能；标配灌注指数 (PI) 的进口血氧技术，标配指套式血氧传感器，血氧脉率范围30-300bpm；可选配主流/旁流EtCO2模块或微流EtCO2模块 主流/旁流EtCO2模块：实现在一个模块上的两种技术切换； ，可适用于新生儿，可支持综合肺功能指数。</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3.无需存储卡或中央站，可储存≥24小时全息波形；标配的HL7数据输出，标配VGA输出接口、护士呼叫接口和除颤同步输出和USB接口；具备记录仪，可打印波形通道≥3通道；可选配有创压力、脑电双频指数等。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输液泵</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1.双屏幕设计：显示速度、预置量、累积量、输液器品牌、输液器规格、输液模式、压力档、压力动态显示。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cs="Times New Roman" w:asciiTheme="minorEastAsia" w:hAnsiTheme="minorEastAsia"/>
                <w:kern w:val="0"/>
                <w:sz w:val="24"/>
                <w:szCs w:val="24"/>
                <w:lang w:val="zh-CN"/>
              </w:rPr>
              <w:t>▲</w:t>
            </w:r>
            <w:r>
              <w:rPr>
                <w:rFonts w:hint="eastAsia" w:ascii="宋体" w:hAnsi="宋体" w:eastAsia="宋体" w:cs="宋体"/>
                <w:kern w:val="0"/>
                <w:sz w:val="21"/>
                <w:szCs w:val="21"/>
              </w:rPr>
              <w:t>带有车载电源DC12V接口、护士呼叫接口、标准R232接口、USB接口、直流输出接口用于供电给输液输血加温器等设备。</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3.输液速率设定：滴/min、ml/h、时间/容量三种；具有10滴/ml、15滴/ml、18滴/ml、 20滴/ml、60滴/ml五种规格以上输液器参数；流速1-1500ml/h，点滴1-200滴。</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numPr>
                <w:ilvl w:val="0"/>
                <w:numId w:val="0"/>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cs="Times New Roman" w:asciiTheme="minorEastAsia" w:hAnsiTheme="minorEastAsia"/>
                <w:kern w:val="0"/>
                <w:sz w:val="24"/>
                <w:szCs w:val="24"/>
                <w:lang w:val="zh-CN"/>
              </w:rPr>
              <w:t>▲</w:t>
            </w:r>
            <w:r>
              <w:rPr>
                <w:rFonts w:hint="eastAsia" w:ascii="宋体" w:hAnsi="宋体" w:eastAsia="宋体" w:cs="宋体"/>
                <w:kern w:val="0"/>
                <w:sz w:val="21"/>
                <w:szCs w:val="21"/>
              </w:rPr>
              <w:t>报警包含超时、输液器未校准提示、管路阻塞、管路气泡、泵门未关闭、输液完毕等，报警音量可调，输液器标定功能，适配所有品牌输液器；在不暂停输液的情况下，可以通过按键键调整输液速度。</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5.在液晶屏上可查询500条历史输液信息，显示输液日期、开始时间、停止时间、速度、预置量、累计量、报警状态等。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心电图机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cs="Times New Roman" w:asciiTheme="minorEastAsia" w:hAnsiTheme="minorEastAsia"/>
                <w:kern w:val="0"/>
                <w:sz w:val="24"/>
                <w:szCs w:val="24"/>
                <w:lang w:val="zh-CN"/>
              </w:rPr>
              <w:t>▲</w:t>
            </w:r>
            <w:r>
              <w:rPr>
                <w:rFonts w:hint="eastAsia" w:ascii="宋体" w:hAnsi="宋体" w:eastAsia="宋体" w:cs="宋体"/>
                <w:kern w:val="0"/>
                <w:sz w:val="21"/>
                <w:szCs w:val="21"/>
              </w:rPr>
              <w:t>心电输入 12 导联同步采集，采样率 ≥8000 Hz/通道，噪声 ≤15 μVp-p，模数转换精度 ≥12 bit 或≤2.5 μV，基线漂移滤波 0.05, 0.15, 0.5；显示导联数 同屏12 导联，每导联显示≥5s；可任选10 秒标准12 导联报告或1 分钟节律；内置心电动态波形供演示和教学。</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cs="Times New Roman" w:asciiTheme="minorEastAsia" w:hAnsiTheme="minorEastAsia"/>
                <w:kern w:val="0"/>
                <w:sz w:val="24"/>
                <w:szCs w:val="24"/>
                <w:lang w:val="zh-CN"/>
              </w:rPr>
              <w:t>▲</w:t>
            </w:r>
            <w:r>
              <w:rPr>
                <w:rFonts w:hint="eastAsia" w:ascii="宋体" w:hAnsi="宋体" w:eastAsia="宋体" w:cs="宋体"/>
                <w:kern w:val="0"/>
                <w:sz w:val="21"/>
                <w:szCs w:val="21"/>
              </w:rPr>
              <w:t>可显示患者信息、日期、心率、网络状态、电池状态、心电波形、导联名称等；系统菜单可快速调出导联图、快速设置等；内置打印机 高分辨率数字阵列打印机，打印患者信息、测量参数、分析报告、日期和时间、走纸速度、导联名称、心电波形等。</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3.走纸速度 5、 10、 25、 50 mm/s；重量： ≤2.6Kg，内置提手；可连续工作600 分钟以上；导出PDF 贮存容量 ≥3000 份，外部贮存 U 盘及网盘；至少支持左右手接反及相隔胸导联接错提示。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285612603"/>
      <w:bookmarkStart w:id="16" w:name="_Toc37172690"/>
      <w:bookmarkStart w:id="17"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ascii="Times New Roman" w:hAnsi="Times New Roman" w:eastAsia="宋体" w:cs="Times New Roman"/>
        </w:rPr>
        <w:t xml:space="preserve"> </w:t>
      </w: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40432233"/>
      <w:bookmarkStart w:id="19" w:name="_Toc37172691"/>
      <w:bookmarkStart w:id="20" w:name="_Toc285612604"/>
      <w:bookmarkStart w:id="21" w:name="_Toc435540982"/>
      <w:bookmarkStart w:id="22" w:name="_Toc390713970"/>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7"/>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7"/>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7"/>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7"/>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7"/>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7"/>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7"/>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7"/>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3A5A1"/>
    <w:multiLevelType w:val="singleLevel"/>
    <w:tmpl w:val="8773A5A1"/>
    <w:lvl w:ilvl="0" w:tentative="0">
      <w:start w:val="1"/>
      <w:numFmt w:val="decimal"/>
      <w:lvlText w:val="%1."/>
      <w:lvlJc w:val="left"/>
      <w:pPr>
        <w:tabs>
          <w:tab w:val="left" w:pos="312"/>
        </w:tabs>
      </w:pPr>
    </w:lvl>
  </w:abstractNum>
  <w:abstractNum w:abstractNumId="1">
    <w:nsid w:val="DDB5BED2"/>
    <w:multiLevelType w:val="singleLevel"/>
    <w:tmpl w:val="DDB5BED2"/>
    <w:lvl w:ilvl="0" w:tentative="0">
      <w:start w:val="1"/>
      <w:numFmt w:val="decimal"/>
      <w:lvlText w:val="%1."/>
      <w:lvlJc w:val="left"/>
      <w:pPr>
        <w:tabs>
          <w:tab w:val="left" w:pos="312"/>
        </w:tabs>
      </w:pPr>
    </w:lvl>
  </w:abstractNum>
  <w:abstractNum w:abstractNumId="2">
    <w:nsid w:val="F2C3B5AE"/>
    <w:multiLevelType w:val="singleLevel"/>
    <w:tmpl w:val="F2C3B5AE"/>
    <w:lvl w:ilvl="0" w:tentative="0">
      <w:start w:val="1"/>
      <w:numFmt w:val="decimal"/>
      <w:lvlText w:val="%1."/>
      <w:lvlJc w:val="left"/>
      <w:pPr>
        <w:tabs>
          <w:tab w:val="left" w:pos="312"/>
        </w:tabs>
      </w:pPr>
    </w:lvl>
  </w:abstractNum>
  <w:abstractNum w:abstractNumId="3">
    <w:nsid w:val="FB984FB5"/>
    <w:multiLevelType w:val="singleLevel"/>
    <w:tmpl w:val="FB984FB5"/>
    <w:lvl w:ilvl="0" w:tentative="0">
      <w:start w:val="1"/>
      <w:numFmt w:val="decimal"/>
      <w:lvlText w:val="%1."/>
      <w:lvlJc w:val="left"/>
      <w:pPr>
        <w:tabs>
          <w:tab w:val="left" w:pos="312"/>
        </w:tabs>
      </w:pPr>
    </w:lvl>
  </w:abstractNum>
  <w:abstractNum w:abstractNumId="4">
    <w:nsid w:val="0AAE2B94"/>
    <w:multiLevelType w:val="singleLevel"/>
    <w:tmpl w:val="0AAE2B94"/>
    <w:lvl w:ilvl="0" w:tentative="0">
      <w:start w:val="1"/>
      <w:numFmt w:val="decimal"/>
      <w:lvlText w:val="%1."/>
      <w:lvlJc w:val="left"/>
      <w:pPr>
        <w:tabs>
          <w:tab w:val="left" w:pos="312"/>
        </w:tabs>
      </w:pPr>
    </w:lvl>
  </w:abstractNum>
  <w:abstractNum w:abstractNumId="5">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6">
    <w:nsid w:val="529C6FDE"/>
    <w:multiLevelType w:val="singleLevel"/>
    <w:tmpl w:val="529C6FDE"/>
    <w:lvl w:ilvl="0" w:tentative="0">
      <w:start w:val="1"/>
      <w:numFmt w:val="decimal"/>
      <w:lvlText w:val="%1."/>
      <w:lvlJc w:val="left"/>
      <w:pPr>
        <w:tabs>
          <w:tab w:val="left" w:pos="312"/>
        </w:tabs>
      </w:p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2D66484"/>
    <w:rsid w:val="04792945"/>
    <w:rsid w:val="0ED71C08"/>
    <w:rsid w:val="182B2713"/>
    <w:rsid w:val="1E8B030E"/>
    <w:rsid w:val="28E30963"/>
    <w:rsid w:val="2A3D00F3"/>
    <w:rsid w:val="2B73463B"/>
    <w:rsid w:val="2F4726FA"/>
    <w:rsid w:val="371325E0"/>
    <w:rsid w:val="45232FD7"/>
    <w:rsid w:val="45BD552E"/>
    <w:rsid w:val="4C8E5F31"/>
    <w:rsid w:val="4F481D27"/>
    <w:rsid w:val="514151AF"/>
    <w:rsid w:val="5AB16304"/>
    <w:rsid w:val="64071E3F"/>
    <w:rsid w:val="661D2237"/>
    <w:rsid w:val="79A9368F"/>
    <w:rsid w:val="7A57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31"/>
    <w:basedOn w:val="19"/>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21</TotalTime>
  <ScaleCrop>false</ScaleCrop>
  <LinksUpToDate>false</LinksUpToDate>
  <CharactersWithSpaces>33081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2020-06-09T08:36:00Z</cp:lastPrinted>
  <dcterms:modified xsi:type="dcterms:W3CDTF">2020-10-29T11:46:43Z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