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color w:val="auto"/>
          <w:kern w:val="0"/>
          <w:sz w:val="36"/>
          <w:szCs w:val="36"/>
          <w:lang w:val="en-US" w:eastAsia="zh-CN"/>
        </w:rPr>
      </w:pPr>
      <w:r>
        <w:rPr>
          <w:rFonts w:hint="eastAsia" w:ascii="Times New Roman" w:hAnsi="Times New Roman" w:eastAsia="华文中宋" w:cs="Times New Roman"/>
          <w:color w:val="auto"/>
          <w:kern w:val="0"/>
          <w:sz w:val="36"/>
          <w:szCs w:val="36"/>
          <w:lang w:val="en-US" w:eastAsia="zh-CN"/>
        </w:rPr>
        <w:t xml:space="preserve"> </w:t>
      </w:r>
    </w:p>
    <w:p>
      <w:pPr>
        <w:rPr>
          <w:rFonts w:ascii="Times New Roman" w:hAnsi="Times New Roman" w:eastAsia="宋体" w:cs="Times New Roman"/>
          <w:color w:val="auto"/>
          <w:kern w:val="0"/>
          <w:sz w:val="36"/>
          <w:szCs w:val="36"/>
        </w:rPr>
      </w:pPr>
    </w:p>
    <w:p>
      <w:pPr>
        <w:rPr>
          <w:rFonts w:ascii="Times New Roman" w:hAnsi="Times New Roman" w:eastAsia="方正小标宋简体" w:cs="Times New Roman"/>
          <w:color w:val="auto"/>
          <w:kern w:val="0"/>
          <w:sz w:val="36"/>
          <w:szCs w:val="36"/>
        </w:rPr>
      </w:pPr>
    </w:p>
    <w:p>
      <w:pPr>
        <w:jc w:val="center"/>
        <w:rPr>
          <w:rFonts w:ascii="Times New Roman" w:hAnsi="Times New Roman" w:eastAsia="方正小标宋简体" w:cs="Times New Roman"/>
          <w:color w:val="auto"/>
          <w:kern w:val="0"/>
          <w:sz w:val="84"/>
          <w:szCs w:val="84"/>
        </w:rPr>
      </w:pPr>
      <w:r>
        <w:rPr>
          <w:rFonts w:hint="eastAsia" w:ascii="Times New Roman" w:hAnsi="Times New Roman" w:eastAsia="方正小标宋简体" w:cs="Times New Roman"/>
          <w:color w:val="auto"/>
          <w:kern w:val="0"/>
          <w:sz w:val="84"/>
          <w:szCs w:val="84"/>
        </w:rPr>
        <w:t xml:space="preserve">谈 判 </w:t>
      </w:r>
      <w:r>
        <w:rPr>
          <w:rFonts w:ascii="Times New Roman" w:hAnsi="Times New Roman" w:eastAsia="方正小标宋简体" w:cs="Times New Roman"/>
          <w:color w:val="auto"/>
          <w:kern w:val="0"/>
          <w:sz w:val="84"/>
          <w:szCs w:val="84"/>
        </w:rPr>
        <w:t>文</w:t>
      </w:r>
      <w:r>
        <w:rPr>
          <w:rFonts w:hint="eastAsia" w:ascii="Times New Roman" w:hAnsi="Times New Roman" w:eastAsia="方正小标宋简体" w:cs="Times New Roman"/>
          <w:color w:val="auto"/>
          <w:kern w:val="0"/>
          <w:sz w:val="84"/>
          <w:szCs w:val="84"/>
        </w:rPr>
        <w:t xml:space="preserve"> </w:t>
      </w:r>
      <w:r>
        <w:rPr>
          <w:rFonts w:ascii="Times New Roman" w:hAnsi="Times New Roman" w:eastAsia="方正小标宋简体" w:cs="Times New Roman"/>
          <w:color w:val="auto"/>
          <w:kern w:val="0"/>
          <w:sz w:val="84"/>
          <w:szCs w:val="84"/>
        </w:rPr>
        <w:t>件</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ind w:firstLine="2106" w:firstLineChars="600"/>
        <w:jc w:val="both"/>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lang w:eastAsia="zh-CN"/>
        </w:rPr>
        <w:t>应急采购科研检测类设备一批</w:t>
      </w:r>
      <w:r>
        <w:rPr>
          <w:rFonts w:hint="eastAsia" w:ascii="宋体" w:hAnsi="宋体" w:eastAsia="宋体" w:cs="Times New Roman"/>
          <w:color w:val="auto"/>
          <w:kern w:val="0"/>
          <w:sz w:val="36"/>
          <w:szCs w:val="36"/>
          <w:u w:val="single"/>
          <w:lang w:val="en-US" w:eastAsia="zh-CN"/>
        </w:rPr>
        <w:t xml:space="preserve"> </w:t>
      </w:r>
    </w:p>
    <w:p>
      <w:pPr>
        <w:ind w:firstLine="2106" w:firstLineChars="600"/>
        <w:rPr>
          <w:rFonts w:ascii="宋体" w:hAnsi="宋体" w:eastAsia="宋体" w:cs="Times New Roman"/>
          <w:color w:val="auto"/>
          <w:kern w:val="0"/>
          <w:sz w:val="36"/>
          <w:szCs w:val="36"/>
        </w:rPr>
      </w:pPr>
    </w:p>
    <w:p>
      <w:pPr>
        <w:ind w:firstLine="2106" w:firstLineChars="600"/>
        <w:jc w:val="both"/>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lang w:eastAsia="zh-CN"/>
        </w:rPr>
        <w:t>2021-JL13(03)-W30111</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w:t>
      </w:r>
      <w:r>
        <w:rPr>
          <w:rFonts w:hint="eastAsia" w:ascii="宋体" w:hAnsi="宋体" w:eastAsia="宋体" w:cs="Times New Roman"/>
          <w:color w:val="auto"/>
          <w:kern w:val="0"/>
          <w:sz w:val="36"/>
          <w:szCs w:val="36"/>
          <w:lang w:eastAsia="zh-CN"/>
        </w:rPr>
        <w:t>一</w:t>
      </w:r>
      <w:r>
        <w:rPr>
          <w:rFonts w:ascii="宋体" w:hAnsi="宋体" w:eastAsia="宋体" w:cs="Times New Roman"/>
          <w:color w:val="auto"/>
          <w:kern w:val="0"/>
          <w:sz w:val="36"/>
          <w:szCs w:val="36"/>
        </w:rPr>
        <w:t>年</w:t>
      </w:r>
      <w:r>
        <w:rPr>
          <w:rFonts w:hint="eastAsia" w:ascii="宋体" w:hAnsi="宋体" w:eastAsia="宋体" w:cs="Times New Roman"/>
          <w:color w:val="auto"/>
          <w:kern w:val="0"/>
          <w:sz w:val="36"/>
          <w:szCs w:val="36"/>
          <w:lang w:eastAsia="zh-CN"/>
        </w:rPr>
        <w:t>三</w:t>
      </w:r>
      <w:r>
        <w:rPr>
          <w:rFonts w:ascii="宋体" w:hAnsi="宋体" w:eastAsia="宋体" w:cs="Times New Roman"/>
          <w:color w:val="auto"/>
          <w:kern w:val="0"/>
          <w:sz w:val="36"/>
          <w:szCs w:val="36"/>
        </w:rPr>
        <w:t>月</w:t>
      </w:r>
    </w:p>
    <w:p>
      <w:pP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br w:type="page"/>
      </w:r>
    </w:p>
    <w:p>
      <w:pPr>
        <w:adjustRightInd w:val="0"/>
        <w:snapToGrid w:val="0"/>
        <w:spacing w:line="440" w:lineRule="exact"/>
        <w:jc w:val="cente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t>特别提示：</w:t>
      </w:r>
      <w:r>
        <w:rPr>
          <w:rFonts w:hint="eastAsia" w:ascii="黑体" w:hAnsi="黑体" w:eastAsia="黑体" w:cs="Times New Roman"/>
          <w:bCs/>
          <w:color w:val="auto"/>
          <w:kern w:val="0"/>
          <w:sz w:val="30"/>
          <w:szCs w:val="30"/>
        </w:rPr>
        <w:t>谈判报价</w:t>
      </w:r>
      <w:r>
        <w:rPr>
          <w:rFonts w:ascii="黑体" w:hAnsi="黑体" w:eastAsia="黑体" w:cs="Times New Roman"/>
          <w:bCs/>
          <w:color w:val="auto"/>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color w:val="auto"/>
          <w:kern w:val="0"/>
          <w:sz w:val="24"/>
          <w:szCs w:val="24"/>
          <w:u w:color="000000"/>
        </w:rPr>
      </w:pP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color w:val="auto"/>
          <w:kern w:val="0"/>
          <w:sz w:val="30"/>
          <w:szCs w:val="30"/>
          <w:u w:color="000000"/>
        </w:rPr>
      </w:pPr>
      <w:r>
        <w:rPr>
          <w:rFonts w:hint="eastAsia" w:ascii="宋体" w:hAnsi="宋体" w:eastAsia="宋体" w:cs="Times New Roman"/>
          <w:color w:val="auto"/>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snapToGrid w:val="0"/>
          <w:color w:val="auto"/>
          <w:kern w:val="0"/>
          <w:sz w:val="30"/>
          <w:szCs w:val="30"/>
          <w:u w:color="000000"/>
        </w:rPr>
        <w:t>三、</w:t>
      </w:r>
      <w:r>
        <w:rPr>
          <w:rFonts w:hint="eastAsia" w:ascii="宋体" w:hAnsi="宋体" w:eastAsia="宋体" w:cs="Times New Roman"/>
          <w:color w:val="auto"/>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五、带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号条款均为实质性响应指标要求，必须全部响应。若有一项带“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pPr>
        <w:widowControl/>
        <w:spacing w:line="440" w:lineRule="exact"/>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目    录</w:t>
      </w:r>
    </w:p>
    <w:p>
      <w:pPr>
        <w:spacing w:line="440" w:lineRule="exact"/>
        <w:rPr>
          <w:rFonts w:ascii="黑体" w:hAnsi="黑体" w:eastAsia="黑体" w:cs="Times New Roman"/>
          <w:color w:val="auto"/>
          <w:kern w:val="0"/>
          <w:sz w:val="32"/>
          <w:szCs w:val="32"/>
        </w:rPr>
      </w:pPr>
    </w:p>
    <w:p>
      <w:pPr>
        <w:spacing w:line="440" w:lineRule="exact"/>
        <w:ind w:firstLine="462" w:firstLineChars="200"/>
        <w:rPr>
          <w:rFonts w:ascii="宋体" w:hAnsi="宋体" w:eastAsia="宋体" w:cs="Times New Roman"/>
          <w:color w:val="auto"/>
          <w:kern w:val="0"/>
          <w:sz w:val="24"/>
          <w:szCs w:val="24"/>
        </w:rPr>
      </w:pPr>
    </w:p>
    <w:p>
      <w:pPr>
        <w:pStyle w:val="16"/>
        <w:ind w:left="804"/>
        <w:rPr>
          <w:rFonts w:asciiTheme="minorHAnsi" w:hAnsiTheme="minorHAnsi" w:eastAsiaTheme="minorEastAsia" w:cstheme="minorBidi"/>
          <w:color w:val="auto"/>
          <w:kern w:val="2"/>
          <w:szCs w:val="22"/>
        </w:rPr>
      </w:pPr>
      <w:r>
        <w:rPr>
          <w:rFonts w:ascii="宋体" w:hAnsi="宋体"/>
          <w:color w:val="auto"/>
          <w:sz w:val="32"/>
        </w:rPr>
        <w:fldChar w:fldCharType="begin"/>
      </w:r>
      <w:r>
        <w:rPr>
          <w:rFonts w:ascii="宋体" w:hAnsi="宋体"/>
          <w:color w:val="auto"/>
          <w:sz w:val="32"/>
        </w:rPr>
        <w:instrText xml:space="preserve"> TOC \o "1-3" \h \z \u </w:instrText>
      </w:r>
      <w:r>
        <w:rPr>
          <w:rFonts w:ascii="宋体" w:hAnsi="宋体"/>
          <w:color w:val="auto"/>
          <w:sz w:val="32"/>
        </w:rPr>
        <w:fldChar w:fldCharType="separate"/>
      </w:r>
      <w:r>
        <w:rPr>
          <w:color w:val="auto"/>
        </w:rPr>
        <w:fldChar w:fldCharType="begin"/>
      </w:r>
      <w:r>
        <w:rPr>
          <w:color w:val="auto"/>
        </w:rPr>
        <w:instrText xml:space="preserve"> HYPERLINK \l "_Toc37780283" </w:instrText>
      </w:r>
      <w:r>
        <w:rPr>
          <w:color w:val="auto"/>
        </w:rPr>
        <w:fldChar w:fldCharType="separate"/>
      </w:r>
      <w:r>
        <w:rPr>
          <w:rStyle w:val="24"/>
          <w:rFonts w:hint="eastAsia" w:ascii="黑体" w:hAnsi="黑体" w:eastAsia="黑体"/>
          <w:color w:val="auto"/>
          <w:sz w:val="32"/>
        </w:rPr>
        <w:t>第一部分</w:t>
      </w:r>
      <w:r>
        <w:rPr>
          <w:rStyle w:val="24"/>
          <w:rFonts w:ascii="黑体" w:hAnsi="黑体" w:eastAsia="黑体"/>
          <w:color w:val="auto"/>
          <w:sz w:val="32"/>
        </w:rPr>
        <w:t xml:space="preserve">  </w:t>
      </w:r>
      <w:r>
        <w:rPr>
          <w:rStyle w:val="24"/>
          <w:rFonts w:hint="eastAsia" w:ascii="黑体" w:hAnsi="黑体" w:eastAsia="黑体"/>
          <w:color w:val="auto"/>
          <w:sz w:val="32"/>
        </w:rPr>
        <w:t>采购公告</w:t>
      </w:r>
      <w:r>
        <w:rPr>
          <w:color w:val="auto"/>
          <w:sz w:val="32"/>
        </w:rPr>
        <w:tab/>
      </w:r>
      <w:r>
        <w:rPr>
          <w:color w:val="auto"/>
          <w:sz w:val="32"/>
        </w:rPr>
        <w:fldChar w:fldCharType="begin"/>
      </w:r>
      <w:r>
        <w:rPr>
          <w:color w:val="auto"/>
          <w:sz w:val="32"/>
        </w:rPr>
        <w:instrText xml:space="preserve"> PAGEREF _Toc37780283 \h </w:instrText>
      </w:r>
      <w:r>
        <w:rPr>
          <w:color w:val="auto"/>
          <w:sz w:val="32"/>
        </w:rPr>
        <w:fldChar w:fldCharType="separate"/>
      </w:r>
      <w:r>
        <w:rPr>
          <w:color w:val="auto"/>
          <w:sz w:val="32"/>
        </w:rPr>
        <w:t>1</w:t>
      </w:r>
      <w:r>
        <w:rPr>
          <w:color w:val="auto"/>
          <w:sz w:val="32"/>
        </w:rPr>
        <w:fldChar w:fldCharType="end"/>
      </w:r>
      <w:r>
        <w:rPr>
          <w:color w:val="auto"/>
          <w:sz w:val="32"/>
        </w:rPr>
        <w:fldChar w:fldCharType="end"/>
      </w:r>
    </w:p>
    <w:p>
      <w:pPr>
        <w:pStyle w:val="16"/>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"_Toc37780284" </w:instrText>
      </w:r>
      <w:r>
        <w:rPr>
          <w:color w:val="auto"/>
        </w:rPr>
        <w:fldChar w:fldCharType="separate"/>
      </w:r>
      <w:r>
        <w:rPr>
          <w:rStyle w:val="24"/>
          <w:rFonts w:hint="eastAsia" w:ascii="黑体" w:hAnsi="黑体" w:eastAsia="黑体"/>
          <w:color w:val="auto"/>
          <w:sz w:val="32"/>
          <w:lang w:val="zh-CN"/>
        </w:rPr>
        <w:t>第二部分</w:t>
      </w:r>
      <w:r>
        <w:rPr>
          <w:rStyle w:val="24"/>
          <w:rFonts w:ascii="黑体" w:hAnsi="黑体" w:eastAsia="黑体"/>
          <w:color w:val="auto"/>
          <w:sz w:val="32"/>
          <w:lang w:val="zh-CN"/>
        </w:rPr>
        <w:t xml:space="preserve">  </w:t>
      </w:r>
      <w:r>
        <w:rPr>
          <w:rStyle w:val="24"/>
          <w:rFonts w:hint="eastAsia" w:ascii="黑体" w:hAnsi="黑体" w:eastAsia="黑体"/>
          <w:color w:val="auto"/>
          <w:sz w:val="32"/>
          <w:lang w:val="zh-CN"/>
        </w:rPr>
        <w:t>采购项目技</w:t>
      </w:r>
      <w:r>
        <w:rPr>
          <w:rStyle w:val="24"/>
          <w:rFonts w:hint="eastAsia" w:ascii="黑体" w:hAnsi="黑体" w:eastAsia="黑体" w:cs="宋体"/>
          <w:color w:val="auto"/>
          <w:sz w:val="32"/>
          <w:lang w:val="zh-CN"/>
        </w:rPr>
        <w:t>术</w:t>
      </w:r>
      <w:r>
        <w:rPr>
          <w:rStyle w:val="24"/>
          <w:rFonts w:hint="eastAsia" w:ascii="黑体" w:hAnsi="黑体" w:eastAsia="黑体" w:cs="Dotum"/>
          <w:color w:val="auto"/>
          <w:sz w:val="32"/>
          <w:lang w:val="zh-CN"/>
        </w:rPr>
        <w:t>和商</w:t>
      </w:r>
      <w:r>
        <w:rPr>
          <w:rStyle w:val="24"/>
          <w:rFonts w:hint="eastAsia" w:ascii="黑体" w:hAnsi="黑体" w:eastAsia="黑体" w:cs="宋体"/>
          <w:color w:val="auto"/>
          <w:sz w:val="32"/>
          <w:lang w:val="zh-CN"/>
        </w:rPr>
        <w:t>务</w:t>
      </w:r>
      <w:r>
        <w:rPr>
          <w:rStyle w:val="24"/>
          <w:rFonts w:hint="eastAsia" w:ascii="黑体" w:hAnsi="黑体" w:eastAsia="黑体"/>
          <w:color w:val="auto"/>
          <w:sz w:val="32"/>
          <w:lang w:val="zh-CN"/>
        </w:rPr>
        <w:t>要求</w:t>
      </w:r>
      <w:r>
        <w:rPr>
          <w:color w:val="auto"/>
          <w:sz w:val="32"/>
        </w:rPr>
        <w:tab/>
      </w:r>
      <w:r>
        <w:rPr>
          <w:color w:val="auto"/>
          <w:sz w:val="32"/>
        </w:rPr>
        <w:fldChar w:fldCharType="begin"/>
      </w:r>
      <w:r>
        <w:rPr>
          <w:color w:val="auto"/>
          <w:sz w:val="32"/>
        </w:rPr>
        <w:instrText xml:space="preserve"> PAGEREF _Toc37780284 \h </w:instrText>
      </w:r>
      <w:r>
        <w:rPr>
          <w:color w:val="auto"/>
          <w:sz w:val="32"/>
        </w:rPr>
        <w:fldChar w:fldCharType="separate"/>
      </w:r>
      <w:r>
        <w:rPr>
          <w:color w:val="auto"/>
          <w:sz w:val="32"/>
        </w:rPr>
        <w:t>6</w:t>
      </w:r>
      <w:r>
        <w:rPr>
          <w:color w:val="auto"/>
          <w:sz w:val="32"/>
        </w:rPr>
        <w:fldChar w:fldCharType="end"/>
      </w:r>
      <w:r>
        <w:rPr>
          <w:color w:val="auto"/>
          <w:sz w:val="32"/>
        </w:rPr>
        <w:fldChar w:fldCharType="end"/>
      </w:r>
    </w:p>
    <w:p>
      <w:pPr>
        <w:pStyle w:val="16"/>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"_Toc37780285" </w:instrText>
      </w:r>
      <w:r>
        <w:rPr>
          <w:color w:val="auto"/>
        </w:rPr>
        <w:fldChar w:fldCharType="separate"/>
      </w:r>
      <w:r>
        <w:rPr>
          <w:rStyle w:val="24"/>
          <w:rFonts w:hint="eastAsia" w:ascii="黑体" w:hAnsi="黑体" w:eastAsia="黑体"/>
          <w:color w:val="auto"/>
          <w:sz w:val="32"/>
        </w:rPr>
        <w:t>第三部分</w:t>
      </w:r>
      <w:r>
        <w:rPr>
          <w:rStyle w:val="24"/>
          <w:rFonts w:ascii="黑体" w:hAnsi="黑体" w:eastAsia="黑体"/>
          <w:color w:val="auto"/>
          <w:sz w:val="32"/>
        </w:rPr>
        <w:t xml:space="preserve">  </w:t>
      </w:r>
      <w:r>
        <w:rPr>
          <w:rStyle w:val="24"/>
          <w:rFonts w:hint="eastAsia" w:ascii="黑体" w:hAnsi="黑体" w:eastAsia="黑体"/>
          <w:color w:val="auto"/>
          <w:sz w:val="32"/>
          <w:lang w:val="zh-CN"/>
        </w:rPr>
        <w:t>报价方</w:t>
      </w:r>
      <w:r>
        <w:rPr>
          <w:rStyle w:val="24"/>
          <w:rFonts w:hint="eastAsia" w:ascii="黑体" w:hAnsi="黑体" w:eastAsia="黑体"/>
          <w:color w:val="auto"/>
          <w:sz w:val="32"/>
        </w:rPr>
        <w:t>须知</w:t>
      </w:r>
      <w:r>
        <w:rPr>
          <w:color w:val="auto"/>
          <w:sz w:val="32"/>
        </w:rPr>
        <w:tab/>
      </w:r>
      <w:r>
        <w:rPr>
          <w:color w:val="auto"/>
          <w:sz w:val="32"/>
        </w:rPr>
        <w:fldChar w:fldCharType="begin"/>
      </w:r>
      <w:r>
        <w:rPr>
          <w:color w:val="auto"/>
          <w:sz w:val="32"/>
        </w:rPr>
        <w:instrText xml:space="preserve"> PAGEREF _Toc37780285 \h </w:instrText>
      </w:r>
      <w:r>
        <w:rPr>
          <w:color w:val="auto"/>
          <w:sz w:val="32"/>
        </w:rPr>
        <w:fldChar w:fldCharType="separate"/>
      </w:r>
      <w:r>
        <w:rPr>
          <w:color w:val="auto"/>
          <w:sz w:val="32"/>
        </w:rPr>
        <w:t>10</w:t>
      </w:r>
      <w:r>
        <w:rPr>
          <w:color w:val="auto"/>
          <w:sz w:val="32"/>
        </w:rPr>
        <w:fldChar w:fldCharType="end"/>
      </w:r>
      <w:r>
        <w:rPr>
          <w:color w:val="auto"/>
          <w:sz w:val="32"/>
        </w:rPr>
        <w:fldChar w:fldCharType="end"/>
      </w:r>
    </w:p>
    <w:p>
      <w:pPr>
        <w:pStyle w:val="16"/>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"_Toc37780286" </w:instrText>
      </w:r>
      <w:r>
        <w:rPr>
          <w:color w:val="auto"/>
        </w:rPr>
        <w:fldChar w:fldCharType="separate"/>
      </w:r>
      <w:r>
        <w:rPr>
          <w:rStyle w:val="24"/>
          <w:rFonts w:hint="eastAsia" w:ascii="黑体" w:hAnsi="黑体" w:eastAsia="黑体"/>
          <w:bCs/>
          <w:color w:val="auto"/>
          <w:sz w:val="32"/>
        </w:rPr>
        <w:t>第四部分</w:t>
      </w:r>
      <w:r>
        <w:rPr>
          <w:rStyle w:val="24"/>
          <w:rFonts w:ascii="黑体" w:hAnsi="黑体" w:eastAsia="黑体"/>
          <w:bCs/>
          <w:color w:val="auto"/>
          <w:sz w:val="32"/>
        </w:rPr>
        <w:t xml:space="preserve">  </w:t>
      </w:r>
      <w:r>
        <w:rPr>
          <w:rStyle w:val="24"/>
          <w:rFonts w:hint="eastAsia" w:ascii="黑体" w:hAnsi="黑体" w:eastAsia="黑体"/>
          <w:bCs/>
          <w:color w:val="auto"/>
          <w:sz w:val="32"/>
        </w:rPr>
        <w:t>合同样本</w:t>
      </w:r>
      <w:r>
        <w:rPr>
          <w:color w:val="auto"/>
          <w:sz w:val="32"/>
        </w:rPr>
        <w:tab/>
      </w:r>
      <w:r>
        <w:rPr>
          <w:color w:val="auto"/>
          <w:sz w:val="32"/>
        </w:rPr>
        <w:fldChar w:fldCharType="begin"/>
      </w:r>
      <w:r>
        <w:rPr>
          <w:color w:val="auto"/>
          <w:sz w:val="32"/>
        </w:rPr>
        <w:instrText xml:space="preserve"> PAGEREF _Toc37780286 \h </w:instrText>
      </w:r>
      <w:r>
        <w:rPr>
          <w:color w:val="auto"/>
          <w:sz w:val="32"/>
        </w:rPr>
        <w:fldChar w:fldCharType="separate"/>
      </w:r>
      <w:r>
        <w:rPr>
          <w:color w:val="auto"/>
          <w:sz w:val="32"/>
        </w:rPr>
        <w:t>33</w:t>
      </w:r>
      <w:r>
        <w:rPr>
          <w:color w:val="auto"/>
          <w:sz w:val="32"/>
        </w:rPr>
        <w:fldChar w:fldCharType="end"/>
      </w:r>
      <w:r>
        <w:rPr>
          <w:color w:val="auto"/>
          <w:sz w:val="32"/>
        </w:rPr>
        <w:fldChar w:fldCharType="end"/>
      </w:r>
    </w:p>
    <w:p>
      <w:pPr>
        <w:pStyle w:val="16"/>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"_Toc37780287" </w:instrText>
      </w:r>
      <w:r>
        <w:rPr>
          <w:color w:val="auto"/>
        </w:rPr>
        <w:fldChar w:fldCharType="separate"/>
      </w:r>
      <w:r>
        <w:rPr>
          <w:rStyle w:val="24"/>
          <w:rFonts w:hint="eastAsia" w:ascii="黑体" w:hAnsi="黑体" w:eastAsia="黑体"/>
          <w:color w:val="auto"/>
          <w:sz w:val="32"/>
        </w:rPr>
        <w:t>第五部分</w:t>
      </w:r>
      <w:r>
        <w:rPr>
          <w:rStyle w:val="24"/>
          <w:rFonts w:ascii="黑体" w:hAnsi="黑体" w:eastAsia="黑体"/>
          <w:color w:val="auto"/>
          <w:sz w:val="32"/>
        </w:rPr>
        <w:t xml:space="preserve">  </w:t>
      </w:r>
      <w:r>
        <w:rPr>
          <w:rStyle w:val="24"/>
          <w:rFonts w:hint="eastAsia" w:ascii="黑体" w:hAnsi="黑体" w:eastAsia="黑体"/>
          <w:color w:val="auto"/>
          <w:sz w:val="32"/>
        </w:rPr>
        <w:t>附件</w:t>
      </w:r>
      <w:r>
        <w:rPr>
          <w:rStyle w:val="24"/>
          <w:rFonts w:ascii="黑体" w:hAnsi="黑体" w:eastAsia="黑体"/>
          <w:color w:val="auto"/>
          <w:sz w:val="32"/>
        </w:rPr>
        <w:t>/</w:t>
      </w:r>
      <w:r>
        <w:rPr>
          <w:rStyle w:val="24"/>
          <w:rFonts w:hint="eastAsia" w:ascii="黑体" w:hAnsi="黑体" w:eastAsia="黑体"/>
          <w:color w:val="auto"/>
          <w:sz w:val="32"/>
        </w:rPr>
        <w:t>报价文件格式</w:t>
      </w:r>
      <w:r>
        <w:rPr>
          <w:color w:val="auto"/>
          <w:sz w:val="32"/>
        </w:rPr>
        <w:tab/>
      </w:r>
      <w:r>
        <w:rPr>
          <w:color w:val="auto"/>
          <w:sz w:val="32"/>
        </w:rPr>
        <w:fldChar w:fldCharType="begin"/>
      </w:r>
      <w:r>
        <w:rPr>
          <w:color w:val="auto"/>
          <w:sz w:val="32"/>
        </w:rPr>
        <w:instrText xml:space="preserve"> PAGEREF _Toc37780287 \h </w:instrText>
      </w:r>
      <w:r>
        <w:rPr>
          <w:color w:val="auto"/>
          <w:sz w:val="32"/>
        </w:rPr>
        <w:fldChar w:fldCharType="separate"/>
      </w:r>
      <w:r>
        <w:rPr>
          <w:color w:val="auto"/>
          <w:sz w:val="32"/>
        </w:rPr>
        <w:t>36</w:t>
      </w:r>
      <w:r>
        <w:rPr>
          <w:color w:val="auto"/>
          <w:sz w:val="32"/>
        </w:rPr>
        <w:fldChar w:fldCharType="end"/>
      </w:r>
      <w:r>
        <w:rPr>
          <w:color w:val="auto"/>
          <w:sz w:val="32"/>
        </w:rPr>
        <w:fldChar w:fldCharType="end"/>
      </w:r>
    </w:p>
    <w:p>
      <w:pPr>
        <w:spacing w:line="440" w:lineRule="exact"/>
        <w:rPr>
          <w:rFonts w:ascii="宋体" w:hAnsi="宋体" w:eastAsia="宋体" w:cs="Times New Roman"/>
          <w:color w:val="auto"/>
          <w:kern w:val="0"/>
          <w:sz w:val="32"/>
          <w:szCs w:val="24"/>
        </w:rPr>
      </w:pPr>
      <w:r>
        <w:rPr>
          <w:rFonts w:ascii="宋体" w:hAnsi="宋体" w:eastAsia="宋体" w:cs="Times New Roman"/>
          <w:color w:val="auto"/>
          <w:kern w:val="0"/>
          <w:sz w:val="32"/>
          <w:szCs w:val="24"/>
        </w:rPr>
        <w:fldChar w:fldCharType="end"/>
      </w:r>
    </w:p>
    <w:p>
      <w:pPr>
        <w:spacing w:line="440" w:lineRule="exact"/>
        <w:ind w:firstLine="462" w:firstLineChars="200"/>
        <w:rPr>
          <w:rFonts w:ascii="宋体" w:hAnsi="宋体" w:eastAsia="宋体" w:cs="Times New Roman"/>
          <w:color w:val="auto"/>
          <w:kern w:val="0"/>
          <w:sz w:val="24"/>
          <w:szCs w:val="24"/>
        </w:rPr>
      </w:pPr>
    </w:p>
    <w:p>
      <w:pPr>
        <w:spacing w:beforeLines="100" w:line="440" w:lineRule="exact"/>
        <w:jc w:val="center"/>
        <w:rPr>
          <w:rFonts w:ascii="宋体" w:hAnsi="宋体" w:eastAsia="宋体" w:cs="Times New Roman"/>
          <w:color w:val="auto"/>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3"/>
        <w:spacing w:line="360" w:lineRule="exact"/>
        <w:jc w:val="center"/>
        <w:rPr>
          <w:rFonts w:ascii="黑体" w:hAnsi="黑体" w:eastAsia="黑体"/>
          <w:color w:val="auto"/>
          <w:kern w:val="0"/>
          <w:sz w:val="32"/>
          <w:szCs w:val="32"/>
        </w:rPr>
      </w:pPr>
      <w:bookmarkStart w:id="1" w:name="_Toc285612593"/>
      <w:bookmarkStart w:id="2" w:name="_Toc435540978"/>
      <w:bookmarkStart w:id="3" w:name="_Toc37780283"/>
      <w:r>
        <w:rPr>
          <w:rFonts w:hint="eastAsia" w:ascii="黑体" w:hAnsi="黑体" w:eastAsia="黑体"/>
          <w:color w:val="auto"/>
          <w:kern w:val="0"/>
          <w:sz w:val="32"/>
          <w:szCs w:val="32"/>
        </w:rPr>
        <w:t>第一部分</w:t>
      </w:r>
      <w:bookmarkEnd w:id="1"/>
      <w:bookmarkEnd w:id="2"/>
      <w:r>
        <w:rPr>
          <w:rFonts w:hint="eastAsia" w:ascii="黑体" w:hAnsi="黑体" w:eastAsia="黑体"/>
          <w:color w:val="auto"/>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color w:val="auto"/>
          <w:kern w:val="0"/>
          <w:sz w:val="28"/>
          <w:szCs w:val="28"/>
          <w:lang w:eastAsia="zh-CN"/>
        </w:rPr>
      </w:pPr>
      <w:r>
        <w:rPr>
          <w:rFonts w:hint="eastAsia" w:ascii="Tahoma" w:hAnsi="Tahoma" w:cs="Tahoma"/>
          <w:b/>
          <w:bCs/>
          <w:color w:val="auto"/>
          <w:kern w:val="0"/>
          <w:sz w:val="28"/>
          <w:szCs w:val="28"/>
        </w:rPr>
        <w:t>关于</w:t>
      </w:r>
      <w:r>
        <w:rPr>
          <w:rFonts w:hint="eastAsia" w:ascii="Tahoma" w:hAnsi="Tahoma" w:cs="Tahoma"/>
          <w:b/>
          <w:bCs/>
          <w:color w:val="auto"/>
          <w:kern w:val="0"/>
          <w:sz w:val="28"/>
          <w:szCs w:val="28"/>
          <w:lang w:eastAsia="zh-CN"/>
        </w:rPr>
        <w:t>应急采购科研检测类设备一批</w:t>
      </w:r>
      <w:r>
        <w:rPr>
          <w:rFonts w:hint="eastAsia" w:ascii="Tahoma" w:hAnsi="Tahoma" w:cs="Tahoma"/>
          <w:b/>
          <w:bCs/>
          <w:color w:val="auto"/>
          <w:kern w:val="0"/>
          <w:sz w:val="28"/>
          <w:szCs w:val="28"/>
        </w:rPr>
        <w:t>的采购</w:t>
      </w:r>
      <w:r>
        <w:rPr>
          <w:rFonts w:ascii="Tahoma" w:hAnsi="Tahoma" w:cs="Tahoma"/>
          <w:b/>
          <w:bCs/>
          <w:color w:val="auto"/>
          <w:kern w:val="0"/>
          <w:sz w:val="28"/>
          <w:szCs w:val="28"/>
        </w:rPr>
        <w:t>公告</w:t>
      </w:r>
      <w:r>
        <w:rPr>
          <w:rFonts w:hint="eastAsia" w:ascii="Tahoma" w:hAnsi="Tahoma" w:cs="Tahoma"/>
          <w:color w:val="auto"/>
          <w:kern w:val="0"/>
          <w:sz w:val="28"/>
          <w:szCs w:val="28"/>
          <w:lang w:eastAsia="zh-CN"/>
        </w:rPr>
        <w:t>2021-JL13(03)-W30111</w:t>
      </w:r>
    </w:p>
    <w:p>
      <w:pPr>
        <w:spacing w:line="360" w:lineRule="exact"/>
        <w:ind w:firstLine="462" w:firstLineChars="200"/>
        <w:rPr>
          <w:rFonts w:ascii="宋体" w:hAnsi="宋体" w:eastAsia="宋体" w:cs="Times New Roman"/>
          <w:color w:val="auto"/>
          <w:kern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462" w:firstLineChars="200"/>
        <w:jc w:val="left"/>
        <w:textAlignment w:val="auto"/>
        <w:rPr>
          <w:rFonts w:ascii="宋体" w:hAnsi="宋体" w:eastAsia="宋体" w:cs="Times New Roman"/>
          <w:kern w:val="0"/>
          <w:sz w:val="24"/>
          <w:szCs w:val="24"/>
        </w:rPr>
      </w:pPr>
      <w:r>
        <w:rPr>
          <w:rFonts w:hint="eastAsia" w:ascii="宋体" w:hAnsi="宋体" w:eastAsia="宋体" w:cs="宋体"/>
          <w:color w:val="333333"/>
          <w:kern w:val="0"/>
          <w:sz w:val="24"/>
          <w:szCs w:val="24"/>
          <w:lang w:val="en-US" w:eastAsia="zh-CN" w:bidi="ar"/>
        </w:rPr>
        <w:t>我院</w:t>
      </w:r>
      <w:r>
        <w:rPr>
          <w:rFonts w:hint="eastAsia" w:ascii="宋体" w:hAnsi="宋体" w:eastAsia="宋体" w:cs="Times New Roman"/>
          <w:kern w:val="0"/>
          <w:sz w:val="24"/>
          <w:szCs w:val="24"/>
          <w:lang w:eastAsia="zh-CN"/>
        </w:rPr>
        <w:t>应急采购科研检测类设备一批</w:t>
      </w:r>
      <w:r>
        <w:rPr>
          <w:rFonts w:hint="eastAsia" w:ascii="宋体" w:hAnsi="宋体" w:eastAsia="宋体" w:cs="宋体"/>
          <w:color w:val="333333"/>
          <w:kern w:val="0"/>
          <w:sz w:val="24"/>
          <w:szCs w:val="24"/>
          <w:lang w:val="en-US" w:eastAsia="zh-CN" w:bidi="ar"/>
        </w:rPr>
        <w:t>采购项目经网上公告，至报名截止时间为止合格报名供应商不足三家，特此再次公告，欢迎符合条件的供应商参加谈判报价。</w:t>
      </w:r>
    </w:p>
    <w:p>
      <w:pPr>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项目名称：</w:t>
      </w:r>
      <w:r>
        <w:rPr>
          <w:rFonts w:hint="eastAsia" w:ascii="宋体" w:hAnsi="宋体" w:eastAsia="宋体" w:cs="Times New Roman"/>
          <w:color w:val="auto"/>
          <w:kern w:val="0"/>
          <w:sz w:val="24"/>
          <w:szCs w:val="24"/>
          <w:lang w:eastAsia="zh-CN"/>
        </w:rPr>
        <w:t>应急采购科研检测类设备一批</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二、</w:t>
      </w:r>
      <w:r>
        <w:rPr>
          <w:rFonts w:ascii="宋体" w:hAnsi="宋体" w:eastAsia="宋体" w:cs="Times New Roman"/>
          <w:color w:val="auto"/>
          <w:kern w:val="0"/>
          <w:sz w:val="24"/>
          <w:szCs w:val="24"/>
        </w:rPr>
        <w:t>项目编号：</w:t>
      </w:r>
      <w:r>
        <w:rPr>
          <w:rFonts w:hint="eastAsia" w:ascii="宋体" w:hAnsi="宋体" w:eastAsia="宋体" w:cs="Times New Roman"/>
          <w:color w:val="auto"/>
          <w:kern w:val="0"/>
          <w:sz w:val="24"/>
          <w:szCs w:val="24"/>
          <w:lang w:eastAsia="zh-CN"/>
        </w:rPr>
        <w:t>2021-JL13(03)-W30111</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三、项目概况</w:t>
      </w:r>
      <w:r>
        <w:rPr>
          <w:rFonts w:ascii="宋体" w:hAnsi="宋体" w:eastAsia="宋体" w:cs="Times New Roman"/>
          <w:color w:val="auto"/>
          <w:kern w:val="0"/>
          <w:sz w:val="24"/>
          <w:szCs w:val="24"/>
        </w:rPr>
        <w:t>：</w:t>
      </w:r>
    </w:p>
    <w:tbl>
      <w:tblPr>
        <w:tblStyle w:val="20"/>
        <w:tblW w:w="5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660"/>
        <w:gridCol w:w="697"/>
        <w:gridCol w:w="1000"/>
        <w:gridCol w:w="785"/>
        <w:gridCol w:w="643"/>
        <w:gridCol w:w="127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包号</w:t>
            </w:r>
          </w:p>
        </w:tc>
        <w:tc>
          <w:tcPr>
            <w:tcW w:w="3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货物名称</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规格</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型号</w:t>
            </w: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技术</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要求</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计量</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（万元）</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电动助吸器</w:t>
            </w:r>
          </w:p>
        </w:tc>
        <w:tc>
          <w:tcPr>
            <w:tcW w:w="69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0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asciiTheme="minorEastAsia" w:hAnsiTheme="minorEastAsia" w:eastAsiaTheme="minorEastAsia"/>
                <w:color w:val="auto"/>
                <w:szCs w:val="21"/>
                <w:lang w:val="en-US" w:eastAsia="zh-CN"/>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倒置荧光显微镜</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二氧化碳培养箱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18</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高通量测序仪及数据存储传输体系</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190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参数有修改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多重核酸检测仪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90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荧光定量PCR仪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210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40</w:t>
            </w:r>
            <w:r>
              <w:rPr>
                <w:rFonts w:hint="eastAsia" w:ascii="宋体" w:hAnsi="宋体" w:eastAsia="宋体" w:cs="宋体"/>
                <w:i w:val="0"/>
                <w:color w:val="auto"/>
                <w:kern w:val="0"/>
                <w:sz w:val="20"/>
                <w:szCs w:val="20"/>
                <w:u w:val="none"/>
                <w:lang w:val="en-US" w:eastAsia="zh-CN" w:bidi="ar"/>
              </w:rPr>
              <w:t>℃低温冰箱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2-8</w:t>
            </w:r>
            <w:r>
              <w:rPr>
                <w:rFonts w:hint="eastAsia" w:ascii="宋体" w:hAnsi="宋体" w:eastAsia="宋体" w:cs="宋体"/>
                <w:i w:val="0"/>
                <w:color w:val="auto"/>
                <w:kern w:val="0"/>
                <w:sz w:val="20"/>
                <w:szCs w:val="20"/>
                <w:u w:val="none"/>
                <w:lang w:val="en-US" w:eastAsia="zh-CN" w:bidi="ar"/>
              </w:rPr>
              <w:t>℃医用冷藏箱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9</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旋涡混匀器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10</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掌上离心机</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冰箱（</w:t>
            </w:r>
            <w:r>
              <w:rPr>
                <w:rFonts w:hint="default" w:ascii="Times New Roman" w:hAnsi="Times New Roman" w:eastAsia="宋体" w:cs="Times New Roman"/>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22.4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自动化建库仪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95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7</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参数有修改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普通</w:t>
            </w:r>
            <w:r>
              <w:rPr>
                <w:rFonts w:hint="default" w:ascii="Times New Roman" w:hAnsi="Times New Roman" w:eastAsia="宋体" w:cs="Times New Roman"/>
                <w:i w:val="0"/>
                <w:color w:val="auto"/>
                <w:kern w:val="0"/>
                <w:sz w:val="20"/>
                <w:szCs w:val="20"/>
                <w:u w:val="none"/>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参数有修改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鼓风干燥箱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纯水系统</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80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虫媒监测工具1-电动吸蚊器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18</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虫媒监测工具2-昆虫诱捕装置</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19</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虫媒监测工具3-二氧化碳捕蚊器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4.75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20</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虫媒监测工具4-引诱剂捕蚊器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虫媒监测工具5-体式显微镜</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深低温冰箱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37.5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低温水平离心机</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电热恒温培养箱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野外快速核酸提取仪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80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mini</w:t>
            </w:r>
            <w:r>
              <w:rPr>
                <w:rFonts w:hint="eastAsia" w:ascii="宋体" w:hAnsi="宋体" w:eastAsia="宋体" w:cs="宋体"/>
                <w:i w:val="0"/>
                <w:color w:val="auto"/>
                <w:kern w:val="0"/>
                <w:sz w:val="20"/>
                <w:szCs w:val="20"/>
                <w:u w:val="none"/>
                <w:lang w:val="en-US" w:eastAsia="zh-CN" w:bidi="ar"/>
              </w:rPr>
              <w:t>离心机（生物安全柜内）生物安全型</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7</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快速样本制备仪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28</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水浴箱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29</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恒温金属浴</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6.8</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30</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微量高速冷冻离心机-生物安全型</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高压灭菌器(生物安全型)</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地埋式医疗污水处理系统</w:t>
            </w:r>
          </w:p>
        </w:tc>
        <w:tc>
          <w:tcPr>
            <w:tcW w:w="69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宋体"/>
                <w:i w:val="0"/>
                <w:color w:val="auto"/>
                <w:kern w:val="0"/>
                <w:sz w:val="20"/>
                <w:szCs w:val="20"/>
                <w:u w:val="none"/>
                <w:lang w:val="en-US" w:eastAsia="zh-CN" w:bidi="ar"/>
              </w:rPr>
            </w:pPr>
            <w:r>
              <w:rPr>
                <w:rFonts w:hint="eastAsia" w:cs="Times New Roman" w:asciiTheme="minorEastAsia" w:hAnsiTheme="minorEastAsia"/>
                <w:snapToGrid w:val="0"/>
                <w:color w:val="auto"/>
                <w:kern w:val="0"/>
                <w:szCs w:val="21"/>
              </w:rPr>
              <w:t>说明</w:t>
            </w:r>
          </w:p>
        </w:tc>
        <w:tc>
          <w:tcPr>
            <w:tcW w:w="933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lang w:eastAsia="zh-CN"/>
              </w:rPr>
            </w:pPr>
            <w:r>
              <w:rPr>
                <w:rFonts w:hint="eastAsia"/>
                <w:color w:val="auto"/>
                <w:lang w:val="en-US" w:eastAsia="zh-CN"/>
              </w:rPr>
              <w:t>注：1.</w:t>
            </w:r>
            <w:r>
              <w:rPr>
                <w:rFonts w:hint="eastAsia"/>
                <w:color w:val="auto"/>
                <w:lang w:eastAsia="zh-CN"/>
              </w:rPr>
              <w:t>报价方须对该批次所有产品和数量进行报价，否则视为无效报价。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color w:val="auto"/>
                <w:lang w:eastAsia="zh-CN"/>
              </w:rPr>
            </w:pPr>
            <w:r>
              <w:rPr>
                <w:rFonts w:hint="eastAsia"/>
                <w:color w:val="auto"/>
                <w:lang w:val="en-US" w:eastAsia="zh-CN"/>
              </w:rPr>
              <w:t>2.预算仅包含设备价值及运输到国内指定港口的费用；</w:t>
            </w:r>
            <w:r>
              <w:rPr>
                <w:rFonts w:hint="eastAsia"/>
                <w:color w:val="auto"/>
                <w:lang w:eastAsia="zh-CN"/>
              </w:rPr>
              <w:t>海外安装、维保等涉及的交通、运输、人工费用等需另行报价。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color w:val="auto"/>
              </w:rPr>
            </w:pPr>
            <w:r>
              <w:rPr>
                <w:rFonts w:hint="eastAsia"/>
                <w:color w:val="auto"/>
                <w:lang w:val="en-US" w:eastAsia="zh-CN"/>
              </w:rPr>
              <w:t>3.</w:t>
            </w:r>
            <w:r>
              <w:rPr>
                <w:rFonts w:hint="eastAsia"/>
                <w:color w:val="auto"/>
                <w:lang w:eastAsia="zh-CN"/>
              </w:rPr>
              <w:t>交货时间：原则上成交通知书发出</w:t>
            </w:r>
            <w:r>
              <w:rPr>
                <w:rFonts w:hint="eastAsia"/>
                <w:color w:val="auto"/>
              </w:rPr>
              <w:t>后</w:t>
            </w:r>
            <w:r>
              <w:rPr>
                <w:rFonts w:hint="eastAsia"/>
                <w:color w:val="auto"/>
                <w:lang w:val="en-US" w:eastAsia="zh-CN"/>
              </w:rPr>
              <w:t>45</w:t>
            </w:r>
            <w:r>
              <w:rPr>
                <w:rFonts w:hint="eastAsia"/>
                <w:color w:val="auto"/>
              </w:rPr>
              <w:t>个日历日</w:t>
            </w:r>
            <w:r>
              <w:rPr>
                <w:rFonts w:hint="eastAsia"/>
                <w:color w:val="auto"/>
                <w:lang w:eastAsia="zh-CN"/>
              </w:rPr>
              <w:t>内到货。</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default"/>
                <w:color w:val="auto"/>
                <w:lang w:val="en-US"/>
              </w:rPr>
            </w:pPr>
            <w:r>
              <w:rPr>
                <w:rFonts w:hint="eastAsia"/>
                <w:color w:val="auto"/>
                <w:lang w:val="en-US" w:eastAsia="zh-CN"/>
              </w:rPr>
              <w:t>4.交货地点：国内指定港口。</w:t>
            </w:r>
          </w:p>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（一）符合《中华人民共和国政府采购法》第二十二条资格条件：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1.具有独立承担民事责任的能力；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2.具有良好的商业信誉和健全的财务会计制度；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3.具有履行合同所必需的设备和专业技术能力；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4.有依法缴纳税收和社会保障资金的良好记录；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6.法律、行政法规规定的其他条件。</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（二）供应商成立时间不少于1年。</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（三）非外资独资或外资控股企业。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（五）本项目不接受联合体报价。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（七）报价方</w:t>
      </w:r>
      <w:r>
        <w:rPr>
          <w:rFonts w:hint="eastAsia" w:cs="Times New Roman" w:asciiTheme="minorEastAsia" w:hAnsiTheme="minorEastAsia"/>
          <w:color w:val="auto"/>
          <w:kern w:val="0"/>
          <w:sz w:val="24"/>
          <w:szCs w:val="24"/>
        </w:rPr>
        <w:t>应具备本项目生产或者销售范围（以报价方提供的营业执照、经营许可证为准）</w:t>
      </w:r>
      <w:r>
        <w:rPr>
          <w:rFonts w:hint="eastAsia" w:ascii="宋体" w:hAnsi="宋体" w:eastAsia="宋体" w:cs="Times New Roman"/>
          <w:color w:val="auto"/>
          <w:kern w:val="0"/>
          <w:sz w:val="24"/>
          <w:szCs w:val="24"/>
        </w:rPr>
        <w:t>。</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（一）报名时间：</w:t>
      </w:r>
      <w:r>
        <w:rPr>
          <w:rFonts w:hint="eastAsia" w:ascii="宋体" w:hAnsi="宋体" w:eastAsia="宋体" w:cs="Times New Roman"/>
          <w:color w:val="auto"/>
          <w:kern w:val="0"/>
          <w:sz w:val="24"/>
          <w:szCs w:val="24"/>
          <w:u w:val="single"/>
        </w:rPr>
        <w:t xml:space="preserve"> 202</w:t>
      </w:r>
      <w:r>
        <w:rPr>
          <w:rFonts w:hint="eastAsia" w:ascii="宋体" w:hAnsi="宋体" w:eastAsia="宋体" w:cs="Times New Roman"/>
          <w:color w:val="auto"/>
          <w:kern w:val="0"/>
          <w:sz w:val="24"/>
          <w:szCs w:val="24"/>
          <w:u w:val="single"/>
          <w:lang w:val="en-US" w:eastAsia="zh-CN"/>
        </w:rPr>
        <w:t>1</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4</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9</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日至</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4</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16</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（二）发售时间：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（三）发售地点：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（四）发售方式：供应商指定专人现场领取，不接受邮寄等其他方式。购买谈判文件</w:t>
      </w:r>
      <w:r>
        <w:rPr>
          <w:rFonts w:hint="eastAsia" w:cs="Times New Roman" w:asciiTheme="minorEastAsia" w:hAnsiTheme="minorEastAsia"/>
          <w:color w:val="auto"/>
          <w:kern w:val="0"/>
          <w:sz w:val="24"/>
          <w:szCs w:val="24"/>
        </w:rPr>
        <w:t>时需提供以下材料原件或装订成册加盖单位公章的复印件1份</w:t>
      </w:r>
      <w:r>
        <w:rPr>
          <w:rFonts w:hint="eastAsia" w:ascii="宋体" w:hAnsi="宋体" w:eastAsia="宋体" w:cs="Times New Roman"/>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5.廉洁诚信承诺书</w:t>
      </w:r>
    </w:p>
    <w:p>
      <w:pPr>
        <w:spacing w:line="440" w:lineRule="exact"/>
        <w:ind w:firstLine="462" w:firstLineChars="200"/>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.生产企业对代理公司参与报价的授权书</w:t>
      </w:r>
      <w:r>
        <w:rPr>
          <w:rFonts w:hint="eastAsia" w:cs="Times New Roman" w:asciiTheme="minorEastAsia" w:hAnsiTheme="minorEastAsia"/>
          <w:color w:val="auto"/>
          <w:kern w:val="0"/>
          <w:sz w:val="24"/>
          <w:szCs w:val="24"/>
          <w:lang w:eastAsia="zh-CN"/>
        </w:rPr>
        <w:t>（除旋涡混匀器、掌上离心机、水浴箱、1.5ml恒温金属浴（12孔/24孔）外均需提供）</w:t>
      </w:r>
      <w:r>
        <w:rPr>
          <w:rFonts w:hint="eastAsia" w:cs="Times New Roman" w:asciiTheme="minorEastAsia" w:hAnsiTheme="minorEastAsia"/>
          <w:color w:val="auto"/>
          <w:kern w:val="0"/>
          <w:sz w:val="24"/>
          <w:szCs w:val="24"/>
        </w:rPr>
        <w:t>（进口产品需提供原产厂家对中国总代的中英文授权书复印件或同步翻译件）。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（一）报价文件递交及谈判时间：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（二）报价文件递交地点：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（三）报价方式：指定专人递交报价文件，不接受邮寄等其他方式。</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hint="eastAsia" w:cs="Times New Roman" w:asciiTheme="minorEastAsia" w:hAnsiTheme="minorEastAsia"/>
          <w:b/>
          <w:bCs/>
          <w:snapToGrid w:val="0"/>
          <w:color w:val="auto"/>
          <w:kern w:val="0"/>
          <w:sz w:val="24"/>
          <w:szCs w:val="24"/>
          <w:lang w:val="zh-CN"/>
        </w:rPr>
        <w:t>（www.</w:t>
      </w:r>
      <w:r>
        <w:rPr>
          <w:rFonts w:hint="eastAsia" w:cs="Times New Roman" w:asciiTheme="minorEastAsia" w:hAnsiTheme="minorEastAsia"/>
          <w:b/>
          <w:bCs/>
          <w:snapToGrid w:val="0"/>
          <w:color w:val="auto"/>
          <w:kern w:val="0"/>
          <w:sz w:val="24"/>
          <w:szCs w:val="24"/>
          <w:lang w:val="zh-CN" w:eastAsia="zh-CN"/>
        </w:rPr>
        <w:t>plap</w:t>
      </w:r>
      <w:r>
        <w:rPr>
          <w:rFonts w:hint="eastAsia" w:cs="Times New Roman" w:asciiTheme="minorEastAsia" w:hAnsiTheme="minorEastAsia"/>
          <w:b/>
          <w:bCs/>
          <w:snapToGrid w:val="0"/>
          <w:color w:val="auto"/>
          <w:kern w:val="0"/>
          <w:sz w:val="24"/>
          <w:szCs w:val="24"/>
          <w:lang w:val="zh-CN"/>
        </w:rPr>
        <w:t>.cn）、</w:t>
      </w:r>
      <w:r>
        <w:rPr>
          <w:rFonts w:hint="eastAsia" w:cs="Times New Roman" w:asciiTheme="minorEastAsia" w:hAnsiTheme="minorEastAsia"/>
          <w:b/>
          <w:color w:val="auto"/>
          <w:kern w:val="0"/>
          <w:sz w:val="24"/>
          <w:szCs w:val="24"/>
          <w:lang w:eastAsia="zh-CN"/>
        </w:rPr>
        <w:t>中国政府采购网（www.ccgp.gov.cn）</w:t>
      </w:r>
      <w:r>
        <w:rPr>
          <w:rFonts w:hint="eastAsia" w:cs="Times New Roman" w:asciiTheme="minorEastAsia" w:hAnsiTheme="minorEastAsia"/>
          <w:b/>
          <w:color w:val="auto"/>
          <w:kern w:val="0"/>
          <w:sz w:val="24"/>
          <w:szCs w:val="24"/>
        </w:rPr>
        <w:t>及我院官网（www.xnyy.cn）</w:t>
      </w:r>
      <w:r>
        <w:rPr>
          <w:rFonts w:cs="Times New Roman" w:asciiTheme="minorEastAsia" w:hAnsiTheme="minorEastAsia"/>
          <w:b/>
          <w:color w:val="auto"/>
          <w:kern w:val="0"/>
          <w:sz w:val="24"/>
          <w:szCs w:val="24"/>
        </w:rPr>
        <w:t>上发布</w:t>
      </w:r>
      <w:r>
        <w:rPr>
          <w:rFonts w:hint="eastAsia" w:ascii="宋体" w:hAnsi="宋体" w:eastAsia="宋体" w:cs="Times New Roman"/>
          <w:color w:val="auto"/>
          <w:kern w:val="0"/>
          <w:sz w:val="24"/>
          <w:szCs w:val="24"/>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462" w:firstLineChars="200"/>
        <w:textAlignment w:val="auto"/>
        <w:rPr>
          <w:rFonts w:hint="eastAsia"/>
          <w:b/>
          <w:bCs/>
          <w:color w:val="auto"/>
          <w:lang w:val="en-US" w:eastAsia="zh-CN"/>
        </w:rPr>
      </w:pPr>
      <w:r>
        <w:rPr>
          <w:rFonts w:hint="eastAsia" w:ascii="宋体" w:hAnsi="宋体" w:eastAsia="宋体" w:cs="Times New Roman"/>
          <w:b w:val="0"/>
          <w:bCs w:val="0"/>
          <w:color w:val="auto"/>
          <w:kern w:val="0"/>
          <w:sz w:val="24"/>
          <w:szCs w:val="24"/>
          <w:lang w:val="en-US" w:eastAsia="zh-CN" w:bidi="ar-SA"/>
        </w:rPr>
        <w:t>八、</w:t>
      </w:r>
      <w:r>
        <w:rPr>
          <w:rFonts w:hint="eastAsia" w:cs="Times New Roman"/>
          <w:b/>
          <w:bCs/>
          <w:color w:val="auto"/>
          <w:kern w:val="0"/>
          <w:sz w:val="24"/>
          <w:szCs w:val="24"/>
          <w:lang w:val="en-US" w:eastAsia="zh-CN" w:bidi="ar-SA"/>
        </w:rPr>
        <w:t>若潜在供应商对此采购文件内容有任何异议，请在报名截止日期前书面提出。</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九</w:t>
      </w:r>
      <w:r>
        <w:rPr>
          <w:rFonts w:hint="eastAsia" w:ascii="宋体" w:hAnsi="宋体" w:eastAsia="宋体" w:cs="Times New Roman"/>
          <w:color w:val="auto"/>
          <w:kern w:val="0"/>
          <w:sz w:val="24"/>
          <w:szCs w:val="24"/>
        </w:rPr>
        <w:t>、采购机构联系方式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    </w:t>
      </w:r>
      <w:r>
        <w:rPr>
          <w:rFonts w:hint="eastAsia" w:cs="Times New Roman" w:asciiTheme="minorEastAsia" w:hAnsiTheme="minorEastAsia"/>
          <w:color w:val="auto"/>
          <w:kern w:val="0"/>
          <w:sz w:val="24"/>
          <w:szCs w:val="24"/>
        </w:rPr>
        <w:t>（08:00—12:00，15:00—18:00）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spacing w:afterLines="50" w:line="440" w:lineRule="exact"/>
        <w:ind w:left="4167" w:leftChars="432" w:hanging="3299" w:hangingChars="1428"/>
        <w:jc w:val="left"/>
        <w:rPr>
          <w:rFonts w:ascii="宋体" w:hAnsi="宋体" w:eastAsia="宋体" w:cs="Times New Roman"/>
          <w:color w:val="auto"/>
          <w:kern w:val="0"/>
          <w:sz w:val="24"/>
          <w:szCs w:val="24"/>
        </w:rPr>
      </w:pPr>
    </w:p>
    <w:p>
      <w:pPr>
        <w:spacing w:line="440" w:lineRule="exact"/>
        <w:ind w:left="4652" w:leftChars="2310" w:hanging="9" w:hangingChars="4"/>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物资采购中心</w:t>
      </w:r>
    </w:p>
    <w:p>
      <w:pPr>
        <w:autoSpaceDE w:val="0"/>
        <w:autoSpaceDN w:val="0"/>
        <w:adjustRightInd w:val="0"/>
        <w:spacing w:line="440" w:lineRule="exact"/>
        <w:rPr>
          <w:rFonts w:ascii="宋体" w:hAnsi="宋体" w:eastAsia="宋体" w:cs="Times New Roman"/>
          <w:color w:val="auto"/>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color w:val="auto"/>
          <w:kern w:val="0"/>
          <w:sz w:val="24"/>
          <w:szCs w:val="24"/>
        </w:rPr>
        <w:t xml:space="preserve">                                        202</w:t>
      </w:r>
      <w:r>
        <w:rPr>
          <w:rFonts w:hint="eastAsia" w:ascii="宋体" w:hAnsi="宋体" w:eastAsia="宋体" w:cs="Times New Roman"/>
          <w:color w:val="auto"/>
          <w:kern w:val="0"/>
          <w:sz w:val="24"/>
          <w:szCs w:val="24"/>
          <w:lang w:val="en-US" w:eastAsia="zh-CN"/>
        </w:rPr>
        <w:t>1</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lang w:val="en-US" w:eastAsia="zh-CN"/>
        </w:rPr>
        <w:t>4</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lang w:val="en-US" w:eastAsia="zh-CN"/>
        </w:rPr>
        <w:t>9</w:t>
      </w:r>
      <w:r>
        <w:rPr>
          <w:rFonts w:hint="eastAsia" w:ascii="宋体" w:hAnsi="宋体" w:eastAsia="宋体" w:cs="Times New Roman"/>
          <w:color w:val="auto"/>
          <w:kern w:val="0"/>
          <w:sz w:val="24"/>
          <w:szCs w:val="24"/>
        </w:rPr>
        <w:t xml:space="preserve">日                     </w:t>
      </w:r>
    </w:p>
    <w:p>
      <w:pPr>
        <w:pStyle w:val="3"/>
        <w:adjustRightInd w:val="0"/>
        <w:spacing w:line="360" w:lineRule="atLeast"/>
        <w:jc w:val="center"/>
        <w:rPr>
          <w:rFonts w:ascii="黑体" w:hAnsi="黑体" w:eastAsia="黑体"/>
          <w:color w:val="auto"/>
          <w:kern w:val="0"/>
          <w:sz w:val="32"/>
          <w:szCs w:val="32"/>
          <w:lang w:val="zh-CN"/>
        </w:rPr>
      </w:pPr>
      <w:bookmarkStart w:id="4" w:name="_Toc37780284"/>
      <w:bookmarkStart w:id="5" w:name="_Toc390713967"/>
      <w:bookmarkStart w:id="6" w:name="_Toc435540979"/>
      <w:bookmarkStart w:id="7" w:name="_Toc285612594"/>
      <w:r>
        <w:rPr>
          <w:rFonts w:hint="eastAsia" w:ascii="黑体" w:hAnsi="黑体" w:eastAsia="黑体"/>
          <w:color w:val="auto"/>
          <w:kern w:val="0"/>
          <w:sz w:val="32"/>
          <w:szCs w:val="32"/>
          <w:lang w:val="zh-CN"/>
        </w:rPr>
        <w:t>第二部分  采购项目技</w:t>
      </w:r>
      <w:r>
        <w:rPr>
          <w:rFonts w:hint="eastAsia" w:ascii="黑体" w:hAnsi="黑体" w:eastAsia="黑体" w:cs="宋体"/>
          <w:color w:val="auto"/>
          <w:kern w:val="0"/>
          <w:sz w:val="32"/>
          <w:szCs w:val="32"/>
          <w:lang w:val="zh-CN"/>
        </w:rPr>
        <w:t>术</w:t>
      </w:r>
      <w:r>
        <w:rPr>
          <w:rFonts w:hint="eastAsia" w:ascii="黑体" w:hAnsi="黑体" w:eastAsia="黑体" w:cs="Dotum"/>
          <w:color w:val="auto"/>
          <w:kern w:val="0"/>
          <w:sz w:val="32"/>
          <w:szCs w:val="32"/>
          <w:lang w:val="zh-CN"/>
        </w:rPr>
        <w:t>和商</w:t>
      </w:r>
      <w:r>
        <w:rPr>
          <w:rFonts w:hint="eastAsia" w:ascii="黑体" w:hAnsi="黑体" w:eastAsia="黑体" w:cs="宋体"/>
          <w:color w:val="auto"/>
          <w:kern w:val="0"/>
          <w:sz w:val="32"/>
          <w:szCs w:val="32"/>
          <w:lang w:val="zh-CN"/>
        </w:rPr>
        <w:t>务</w:t>
      </w:r>
      <w:r>
        <w:rPr>
          <w:rFonts w:hint="eastAsia" w:ascii="黑体" w:hAnsi="黑体" w:eastAsia="黑体"/>
          <w:color w:val="auto"/>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hint="eastAsia" w:cs="Times New Roman" w:asciiTheme="minorEastAsia" w:hAnsiTheme="minorEastAsia"/>
          <w:color w:val="auto"/>
          <w:kern w:val="0"/>
          <w:sz w:val="24"/>
          <w:szCs w:val="24"/>
          <w:lang w:val="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货物一览表</w:t>
      </w:r>
      <w:bookmarkStart w:id="8" w:name="_Toc285612596"/>
      <w:r>
        <w:rPr>
          <w:rFonts w:ascii="宋体" w:hAnsi="宋体" w:eastAsia="宋体" w:cs="Times New Roman"/>
          <w:color w:val="auto"/>
          <w:kern w:val="0"/>
          <w:sz w:val="24"/>
          <w:szCs w:val="24"/>
        </w:rPr>
        <w:t>及技术</w:t>
      </w:r>
      <w:r>
        <w:rPr>
          <w:rFonts w:hint="eastAsia" w:ascii="宋体" w:hAnsi="宋体" w:eastAsia="宋体" w:cs="Times New Roman"/>
          <w:color w:val="auto"/>
          <w:kern w:val="0"/>
          <w:sz w:val="24"/>
          <w:szCs w:val="24"/>
        </w:rPr>
        <w:t>要求</w:t>
      </w:r>
      <w:bookmarkEnd w:id="8"/>
    </w:p>
    <w:tbl>
      <w:tblPr>
        <w:tblStyle w:val="2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946"/>
        <w:gridCol w:w="768"/>
        <w:gridCol w:w="1107"/>
        <w:gridCol w:w="750"/>
        <w:gridCol w:w="67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包号</w:t>
            </w:r>
          </w:p>
        </w:tc>
        <w:tc>
          <w:tcPr>
            <w:tcW w:w="39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物资名称</w:t>
            </w:r>
          </w:p>
        </w:tc>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规格</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型号</w:t>
            </w:r>
          </w:p>
        </w:tc>
        <w:tc>
          <w:tcPr>
            <w:tcW w:w="11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color w:val="auto"/>
                <w:kern w:val="0"/>
                <w:szCs w:val="21"/>
              </w:rPr>
              <w:t>技术指标参数要求</w:t>
            </w:r>
          </w:p>
        </w:tc>
        <w:tc>
          <w:tcPr>
            <w:tcW w:w="7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计量</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单位</w:t>
            </w:r>
          </w:p>
        </w:tc>
        <w:tc>
          <w:tcPr>
            <w:tcW w:w="6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数量</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电动助吸器</w:t>
            </w:r>
          </w:p>
        </w:tc>
        <w:tc>
          <w:tcPr>
            <w:tcW w:w="76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1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成交通知书发出</w:t>
            </w:r>
            <w:r>
              <w:rPr>
                <w:rFonts w:hint="eastAsia" w:cs="Times New Roman" w:asciiTheme="minorEastAsia" w:hAnsiTheme="minorEastAsia"/>
                <w:color w:val="auto"/>
                <w:szCs w:val="21"/>
              </w:rPr>
              <w:t>后</w:t>
            </w:r>
            <w:r>
              <w:rPr>
                <w:rFonts w:hint="eastAsia" w:cs="Times New Roman" w:asciiTheme="minorEastAsia" w:hAnsiTheme="minorEastAsia"/>
                <w:color w:val="auto"/>
                <w:szCs w:val="21"/>
                <w:lang w:val="en-US" w:eastAsia="zh-CN"/>
              </w:rPr>
              <w:t>45</w:t>
            </w:r>
            <w:r>
              <w:rPr>
                <w:rFonts w:hint="eastAsia" w:cs="Times New Roman" w:asciiTheme="minorEastAsia" w:hAnsiTheme="minorEastAsia"/>
                <w:color w:val="auto"/>
                <w:szCs w:val="21"/>
              </w:rPr>
              <w:t>个日历日</w:t>
            </w:r>
            <w:r>
              <w:rPr>
                <w:rFonts w:hint="eastAsia" w:cs="Times New Roman" w:asciiTheme="minorEastAsia" w:hAnsiTheme="minorEastAsia"/>
                <w:color w:val="auto"/>
                <w:szCs w:val="21"/>
                <w:lang w:eastAsia="zh-CN"/>
              </w:rPr>
              <w:t>内送达国内指定港口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倒置荧光显微镜</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二氧化碳培养箱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高通量测序仪及数据存储传输体系</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多重核酸检测仪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荧光定量PCR仪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40</w:t>
            </w:r>
            <w:r>
              <w:rPr>
                <w:rFonts w:hint="eastAsia" w:ascii="宋体" w:hAnsi="宋体" w:eastAsia="宋体" w:cs="宋体"/>
                <w:i w:val="0"/>
                <w:color w:val="auto"/>
                <w:kern w:val="0"/>
                <w:sz w:val="20"/>
                <w:szCs w:val="20"/>
                <w:u w:val="none"/>
                <w:lang w:val="en-US" w:eastAsia="zh-CN" w:bidi="ar"/>
              </w:rPr>
              <w:t>℃低温冰箱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2-8</w:t>
            </w:r>
            <w:r>
              <w:rPr>
                <w:rFonts w:hint="eastAsia" w:ascii="宋体" w:hAnsi="宋体" w:eastAsia="宋体" w:cs="宋体"/>
                <w:i w:val="0"/>
                <w:color w:val="auto"/>
                <w:kern w:val="0"/>
                <w:sz w:val="20"/>
                <w:szCs w:val="20"/>
                <w:u w:val="none"/>
                <w:lang w:val="en-US" w:eastAsia="zh-CN" w:bidi="ar"/>
              </w:rPr>
              <w:t>℃医用冷藏箱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9</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旋涡混匀器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10</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掌上离心机</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冰箱（</w:t>
            </w:r>
            <w:r>
              <w:rPr>
                <w:rFonts w:hint="default" w:ascii="Times New Roman" w:hAnsi="Times New Roman" w:eastAsia="宋体" w:cs="Times New Roman"/>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自动化建库仪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普通</w:t>
            </w:r>
            <w:r>
              <w:rPr>
                <w:rFonts w:hint="default" w:ascii="Times New Roman" w:hAnsi="Times New Roman" w:eastAsia="宋体" w:cs="Times New Roman"/>
                <w:i w:val="0"/>
                <w:color w:val="auto"/>
                <w:kern w:val="0"/>
                <w:sz w:val="20"/>
                <w:szCs w:val="20"/>
                <w:u w:val="none"/>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鼓风干燥箱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纯水系统</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虫媒监测工具1-电动吸蚊器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18</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虫媒监测工具2-昆虫诱捕装置</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19</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虫媒监测工具3-二氧化碳捕蚊器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20</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虫媒监测工具4-引诱剂捕蚊器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虫媒监测工具5-体式显微镜</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深低温冰箱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低温水平离心机</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电热恒温培养箱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野外快速核酸提取仪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mini</w:t>
            </w:r>
            <w:r>
              <w:rPr>
                <w:rFonts w:hint="eastAsia" w:ascii="宋体" w:hAnsi="宋体" w:eastAsia="宋体" w:cs="宋体"/>
                <w:i w:val="0"/>
                <w:color w:val="auto"/>
                <w:kern w:val="0"/>
                <w:sz w:val="20"/>
                <w:szCs w:val="20"/>
                <w:u w:val="none"/>
                <w:lang w:val="en-US" w:eastAsia="zh-CN" w:bidi="ar"/>
              </w:rPr>
              <w:t>离心机（生物安全柜内）生物安全型</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快速样本制备仪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28</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水浴箱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29</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恒温金属浴</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30</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微量高速冷冻离心机-生物安全型</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高压灭菌器(生物安全型)</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地埋式医疗污水处理系统</w:t>
            </w:r>
          </w:p>
        </w:tc>
        <w:tc>
          <w:tcPr>
            <w:tcW w:w="76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bl>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lang w:val="zh-CN"/>
        </w:rPr>
        <w:t>注：关键重要技术指标参数以</w:t>
      </w:r>
      <w:r>
        <w:rPr>
          <w:rFonts w:hint="eastAsia" w:cs="宋体" w:asciiTheme="minorEastAsia" w:hAnsiTheme="minorEastAsia"/>
          <w:color w:val="auto"/>
          <w:kern w:val="0"/>
          <w:sz w:val="24"/>
          <w:szCs w:val="24"/>
          <w:lang w:val="zh-CN"/>
        </w:rPr>
        <w:t>★</w:t>
      </w:r>
      <w:r>
        <w:rPr>
          <w:rFonts w:hint="eastAsia" w:cs="Times New Roman" w:asciiTheme="minorEastAsia" w:hAnsiTheme="minorEastAsia"/>
          <w:color w:val="auto"/>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color w:val="auto"/>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二、商务要求</w:t>
      </w:r>
    </w:p>
    <w:p>
      <w:pPr>
        <w:adjustRightInd w:val="0"/>
        <w:snapToGrid w:val="0"/>
        <w:spacing w:line="440" w:lineRule="exact"/>
        <w:ind w:firstLine="462" w:firstLineChars="200"/>
        <w:rPr>
          <w:rFonts w:cs="Times New Roman" w:asciiTheme="minorEastAsia" w:hAnsiTheme="minorEastAsia"/>
          <w:color w:val="auto"/>
          <w:kern w:val="0"/>
          <w:sz w:val="24"/>
          <w:szCs w:val="24"/>
          <w:u w:val="single"/>
          <w:lang w:val="zh-CN"/>
        </w:rPr>
      </w:pPr>
      <w:r>
        <w:rPr>
          <w:rFonts w:hint="eastAsia" w:ascii="宋体" w:hAnsi="宋体" w:eastAsia="宋体" w:cs="Times New Roman"/>
          <w:color w:val="auto"/>
          <w:kern w:val="0"/>
          <w:sz w:val="24"/>
          <w:szCs w:val="24"/>
          <w:lang w:val="zh-CN"/>
        </w:rPr>
        <w:t>（一）</w:t>
      </w:r>
      <w:r>
        <w:rPr>
          <w:rFonts w:hint="eastAsia" w:cs="Times New Roman" w:asciiTheme="minorEastAsia" w:hAnsiTheme="minorEastAsia"/>
          <w:color w:val="auto"/>
          <w:kern w:val="0"/>
          <w:sz w:val="24"/>
          <w:szCs w:val="24"/>
          <w:lang w:val="zh-CN"/>
        </w:rPr>
        <w:t>交货时间：</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eastAsia="zh-CN"/>
        </w:rPr>
        <w:t>成交通知书发出</w:t>
      </w:r>
      <w:r>
        <w:rPr>
          <w:rFonts w:hint="eastAsia" w:cs="Times New Roman" w:asciiTheme="minorEastAsia" w:hAnsiTheme="minorEastAsia"/>
          <w:color w:val="auto"/>
          <w:kern w:val="0"/>
          <w:sz w:val="24"/>
          <w:szCs w:val="24"/>
          <w:u w:val="single"/>
          <w:lang w:val="zh-CN"/>
        </w:rPr>
        <w:t>后</w:t>
      </w:r>
      <w:r>
        <w:rPr>
          <w:rFonts w:hint="eastAsia" w:cs="Times New Roman" w:asciiTheme="minorEastAsia" w:hAnsiTheme="minorEastAsia"/>
          <w:color w:val="auto"/>
          <w:kern w:val="0"/>
          <w:sz w:val="24"/>
          <w:szCs w:val="24"/>
          <w:u w:val="single"/>
          <w:lang w:val="zh-CN" w:eastAsia="zh-CN"/>
        </w:rPr>
        <w:t>45</w:t>
      </w:r>
      <w:r>
        <w:rPr>
          <w:rFonts w:hint="eastAsia" w:cs="Times New Roman" w:asciiTheme="minorEastAsia" w:hAnsiTheme="minorEastAsia"/>
          <w:color w:val="auto"/>
          <w:kern w:val="0"/>
          <w:sz w:val="24"/>
          <w:szCs w:val="24"/>
          <w:u w:val="single"/>
          <w:lang w:val="zh-CN"/>
        </w:rPr>
        <w:t>个日历日</w:t>
      </w:r>
      <w:r>
        <w:rPr>
          <w:rFonts w:hint="eastAsia" w:cs="Times New Roman" w:asciiTheme="minorEastAsia" w:hAnsiTheme="minorEastAsia"/>
          <w:color w:val="auto"/>
          <w:kern w:val="0"/>
          <w:sz w:val="24"/>
          <w:szCs w:val="24"/>
          <w:u w:val="single"/>
          <w:lang w:val="zh-CN" w:eastAsia="zh-CN"/>
        </w:rPr>
        <w:t>内</w:t>
      </w:r>
      <w:r>
        <w:rPr>
          <w:rFonts w:hint="eastAsia" w:cs="Times New Roman" w:asciiTheme="minorEastAsia" w:hAnsiTheme="minorEastAsia"/>
          <w:color w:val="auto"/>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color w:val="auto"/>
          <w:kern w:val="0"/>
          <w:sz w:val="24"/>
          <w:szCs w:val="24"/>
          <w:u w:val="single"/>
          <w:lang w:val="zh-CN"/>
        </w:rPr>
      </w:pPr>
      <w:r>
        <w:rPr>
          <w:rFonts w:hint="eastAsia" w:cs="Times New Roman" w:asciiTheme="minorEastAsia" w:hAnsiTheme="minorEastAsia"/>
          <w:color w:val="auto"/>
          <w:kern w:val="0"/>
          <w:sz w:val="24"/>
          <w:szCs w:val="24"/>
          <w:lang w:val="zh-CN"/>
        </w:rPr>
        <w:t>交货地点：</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rPr>
        <w:t xml:space="preserve">国内指定港口                  </w:t>
      </w:r>
    </w:p>
    <w:p>
      <w:pPr>
        <w:adjustRightInd w:val="0"/>
        <w:snapToGrid w:val="0"/>
        <w:spacing w:line="440" w:lineRule="exact"/>
        <w:ind w:firstLine="1141" w:firstLineChars="494"/>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交货方式：</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rPr>
        <w:t>按</w:t>
      </w:r>
      <w:r>
        <w:rPr>
          <w:rFonts w:hint="eastAsia" w:cs="Times New Roman" w:asciiTheme="minorEastAsia" w:hAnsiTheme="minorEastAsia"/>
          <w:color w:val="auto"/>
          <w:kern w:val="0"/>
          <w:sz w:val="24"/>
          <w:szCs w:val="24"/>
          <w:u w:val="single"/>
          <w:lang w:eastAsia="zh-CN"/>
        </w:rPr>
        <w:t>要求运</w:t>
      </w:r>
      <w:r>
        <w:rPr>
          <w:rFonts w:hint="eastAsia" w:cs="Times New Roman" w:asciiTheme="minorEastAsia" w:hAnsiTheme="minorEastAsia"/>
          <w:color w:val="auto"/>
          <w:kern w:val="0"/>
          <w:sz w:val="24"/>
          <w:szCs w:val="24"/>
          <w:u w:val="single"/>
        </w:rPr>
        <w:t>送至需方指定</w:t>
      </w:r>
      <w:r>
        <w:rPr>
          <w:rFonts w:hint="eastAsia" w:cs="Times New Roman" w:asciiTheme="minorEastAsia" w:hAnsiTheme="minorEastAsia"/>
          <w:color w:val="auto"/>
          <w:kern w:val="0"/>
          <w:sz w:val="24"/>
          <w:szCs w:val="24"/>
          <w:u w:val="single"/>
          <w:lang w:eastAsia="zh-CN"/>
        </w:rPr>
        <w:t>国内港口</w:t>
      </w:r>
      <w:r>
        <w:rPr>
          <w:rFonts w:hint="eastAsia" w:cs="Times New Roman" w:asciiTheme="minorEastAsia" w:hAnsiTheme="minorEastAsia"/>
          <w:color w:val="auto"/>
          <w:kern w:val="0"/>
          <w:sz w:val="24"/>
          <w:szCs w:val="24"/>
          <w:u w:val="single"/>
        </w:rPr>
        <w:t>且</w:t>
      </w:r>
      <w:r>
        <w:rPr>
          <w:rFonts w:hint="eastAsia" w:cs="Times New Roman" w:asciiTheme="minorEastAsia" w:hAnsiTheme="minorEastAsia"/>
          <w:color w:val="auto"/>
          <w:kern w:val="0"/>
          <w:sz w:val="24"/>
          <w:szCs w:val="24"/>
          <w:u w:val="single"/>
          <w:lang w:eastAsia="zh-CN"/>
        </w:rPr>
        <w:t>海外</w:t>
      </w:r>
      <w:r>
        <w:rPr>
          <w:rFonts w:hint="eastAsia" w:cs="Times New Roman" w:asciiTheme="minorEastAsia" w:hAnsiTheme="minorEastAsia"/>
          <w:color w:val="auto"/>
          <w:kern w:val="0"/>
          <w:sz w:val="24"/>
          <w:szCs w:val="24"/>
          <w:u w:val="single"/>
        </w:rPr>
        <w:t>安装调试合格</w:t>
      </w:r>
      <w:r>
        <w:rPr>
          <w:rFonts w:hint="eastAsia" w:cs="Times New Roman" w:asciiTheme="minorEastAsia" w:hAnsiTheme="minorEastAsia"/>
          <w:color w:val="auto"/>
          <w:kern w:val="0"/>
          <w:sz w:val="24"/>
          <w:szCs w:val="24"/>
          <w:u w:val="single"/>
          <w:lang w:val="zh-CN"/>
        </w:rPr>
        <w:t xml:space="preserve"> </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1. 保修期：自验收合格之日起，整机保修期</w:t>
      </w:r>
      <w:r>
        <w:rPr>
          <w:rFonts w:hint="eastAsia" w:cs="Times New Roman" w:asciiTheme="minorEastAsia" w:hAnsiTheme="minorEastAsia"/>
          <w:color w:val="auto"/>
          <w:kern w:val="0"/>
          <w:sz w:val="24"/>
          <w:szCs w:val="24"/>
          <w:u w:val="single"/>
          <w:lang w:val="zh-CN"/>
        </w:rPr>
        <w:t xml:space="preserve">  </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3</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lang w:val="zh-CN"/>
        </w:rPr>
        <w:t>年。整机保修期</w:t>
      </w:r>
      <w:r>
        <w:rPr>
          <w:rFonts w:hint="eastAsia" w:cs="Times New Roman" w:asciiTheme="minorEastAsia" w:hAnsiTheme="minorEastAsia"/>
          <w:color w:val="auto"/>
          <w:kern w:val="0"/>
          <w:sz w:val="24"/>
          <w:szCs w:val="24"/>
        </w:rPr>
        <w:t>外，提供终身维修等技术服务保障承诺（因产品或配件停产等导致设备无法维修的原因除外）</w:t>
      </w:r>
      <w:r>
        <w:rPr>
          <w:rFonts w:cs="Times New Roman" w:asciiTheme="minorEastAsia" w:hAnsiTheme="minorEastAsia"/>
          <w:color w:val="auto"/>
          <w:kern w:val="0"/>
          <w:sz w:val="24"/>
          <w:szCs w:val="24"/>
        </w:rPr>
        <w:t>。</w:t>
      </w:r>
    </w:p>
    <w:p>
      <w:pPr>
        <w:adjustRightInd w:val="0"/>
        <w:snapToGrid w:val="0"/>
        <w:spacing w:line="440" w:lineRule="exact"/>
        <w:ind w:firstLine="462" w:firstLineChars="200"/>
        <w:rPr>
          <w:rFonts w:hint="eastAsia" w:cs="Times New Roman" w:asciiTheme="minorEastAsia" w:hAnsiTheme="minorEastAsia" w:eastAsiaTheme="minorEastAsia"/>
          <w:color w:val="auto"/>
          <w:kern w:val="0"/>
          <w:sz w:val="24"/>
          <w:szCs w:val="24"/>
          <w:lang w:eastAsia="zh-CN"/>
        </w:rPr>
      </w:pPr>
      <w:r>
        <w:rPr>
          <w:rFonts w:hint="eastAsia" w:cs="Times New Roman" w:asciiTheme="minorEastAsia" w:hAnsiTheme="minorEastAsia"/>
          <w:color w:val="auto"/>
          <w:kern w:val="0"/>
          <w:sz w:val="24"/>
          <w:szCs w:val="24"/>
          <w:lang w:val="zh-CN"/>
        </w:rPr>
        <w:t>2.</w:t>
      </w:r>
      <w:r>
        <w:rPr>
          <w:rFonts w:hint="eastAsia" w:ascii="楷体" w:hAnsi="楷体" w:eastAsia="楷体" w:cs="Times New Roman"/>
          <w:color w:val="auto"/>
          <w:sz w:val="28"/>
          <w:szCs w:val="28"/>
        </w:rPr>
        <w:t xml:space="preserve"> </w:t>
      </w:r>
      <w:r>
        <w:rPr>
          <w:rFonts w:hint="eastAsia" w:cs="Times New Roman" w:asciiTheme="minorEastAsia" w:hAnsiTheme="minorEastAsia"/>
          <w:color w:val="auto"/>
          <w:kern w:val="0"/>
          <w:sz w:val="24"/>
          <w:szCs w:val="24"/>
        </w:rPr>
        <w:t>响应时间：接到用户报修通知响应时间：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小时以内。</w:t>
      </w:r>
      <w:r>
        <w:rPr>
          <w:rFonts w:hint="eastAsia" w:cs="Times New Roman" w:asciiTheme="minorEastAsia" w:hAnsiTheme="minorEastAsia"/>
          <w:color w:val="auto"/>
          <w:kern w:val="0"/>
          <w:sz w:val="24"/>
          <w:szCs w:val="24"/>
          <w:lang w:eastAsia="zh-CN"/>
        </w:rPr>
        <w:t>需到现场服务的，经供需双方视情商定最大限度满足使用要求。</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Times New Roman" w:asciiTheme="minorEastAsia" w:hAnsiTheme="minorEastAsia"/>
          <w:color w:val="auto"/>
          <w:kern w:val="0"/>
          <w:sz w:val="24"/>
          <w:szCs w:val="24"/>
          <w:lang w:val="zh-CN"/>
        </w:rPr>
        <w:t>3.</w:t>
      </w:r>
      <w:r>
        <w:rPr>
          <w:rFonts w:cs="Arial" w:asciiTheme="minorEastAsia" w:hAnsiTheme="minorEastAsia"/>
          <w:color w:val="auto"/>
          <w:sz w:val="24"/>
          <w:szCs w:val="24"/>
        </w:rPr>
        <w:t>保修期内的开机率：保证开机率</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u w:val="single"/>
        </w:rPr>
        <w:t>95%</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rPr>
        <w:t>（按一年365天计算）</w:t>
      </w:r>
      <w:r>
        <w:rPr>
          <w:rFonts w:hint="eastAsia" w:cs="Arial" w:asciiTheme="minorEastAsia" w:hAnsiTheme="minorEastAsia"/>
          <w:color w:val="auto"/>
          <w:sz w:val="24"/>
          <w:szCs w:val="24"/>
        </w:rPr>
        <w:t>。</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4</w:t>
      </w:r>
      <w:r>
        <w:rPr>
          <w:rFonts w:hint="eastAsia" w:cs="Arial" w:asciiTheme="minorEastAsia" w:hAnsiTheme="minorEastAsia"/>
          <w:color w:val="auto"/>
          <w:sz w:val="24"/>
          <w:szCs w:val="24"/>
        </w:rPr>
        <w:t>.软件升级：终身免费升级</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5</w:t>
      </w:r>
      <w:r>
        <w:rPr>
          <w:rFonts w:hint="eastAsia" w:cs="Arial" w:asciiTheme="minorEastAsia" w:hAnsiTheme="minorEastAsia"/>
          <w:color w:val="auto"/>
          <w:sz w:val="24"/>
          <w:szCs w:val="24"/>
        </w:rPr>
        <w:t>.凡涉及与</w:t>
      </w:r>
      <w:r>
        <w:rPr>
          <w:rFonts w:hint="eastAsia" w:cs="Arial" w:asciiTheme="minorEastAsia" w:hAnsiTheme="minorEastAsia"/>
          <w:color w:val="auto"/>
          <w:sz w:val="24"/>
          <w:szCs w:val="24"/>
          <w:lang w:eastAsia="zh-CN"/>
        </w:rPr>
        <w:t>需方</w:t>
      </w:r>
      <w:r>
        <w:rPr>
          <w:rFonts w:hint="eastAsia" w:cs="Arial" w:asciiTheme="minorEastAsia" w:hAnsiTheme="minorEastAsia"/>
          <w:color w:val="auto"/>
          <w:sz w:val="24"/>
          <w:szCs w:val="24"/>
        </w:rPr>
        <w:t>系统连接的设备，要求具有标准数字接口，若产品没有匹配的接口，由成交供应商负责改造并承担相应费用。</w:t>
      </w:r>
    </w:p>
    <w:p>
      <w:pPr>
        <w:adjustRightInd w:val="0"/>
        <w:snapToGrid w:val="0"/>
        <w:spacing w:line="440" w:lineRule="exact"/>
        <w:ind w:firstLine="462" w:firstLineChars="200"/>
        <w:rPr>
          <w:rFonts w:hint="eastAsia" w:cs="Arial" w:asciiTheme="minorEastAsia" w:hAnsiTheme="minorEastAsia" w:eastAsiaTheme="minorEastAsia"/>
          <w:color w:val="auto"/>
          <w:sz w:val="24"/>
          <w:szCs w:val="24"/>
          <w:lang w:eastAsia="zh-CN"/>
        </w:rPr>
      </w:pPr>
      <w:r>
        <w:rPr>
          <w:rFonts w:hint="eastAsia" w:cs="Arial" w:asciiTheme="minorEastAsia" w:hAnsiTheme="minorEastAsia"/>
          <w:color w:val="auto"/>
          <w:sz w:val="24"/>
          <w:szCs w:val="24"/>
          <w:lang w:val="en-US" w:eastAsia="zh-CN"/>
        </w:rPr>
        <w:t>6</w:t>
      </w:r>
      <w:r>
        <w:rPr>
          <w:rFonts w:hint="eastAsia" w:cs="Arial" w:asciiTheme="minorEastAsia" w:hAnsiTheme="minorEastAsia"/>
          <w:color w:val="auto"/>
          <w:sz w:val="24"/>
          <w:szCs w:val="24"/>
        </w:rPr>
        <w:t>.安装、验收及培训：供应商按合同规定的时间内免费送货</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cs="Arial" w:asciiTheme="minorEastAsia" w:hAnsiTheme="minorEastAsia"/>
          <w:color w:val="auto"/>
          <w:sz w:val="24"/>
          <w:szCs w:val="24"/>
          <w:lang w:eastAsia="zh-CN"/>
        </w:rPr>
        <w:t>。</w:t>
      </w:r>
      <w:r>
        <w:rPr>
          <w:rFonts w:hint="eastAsia" w:cs="Arial" w:asciiTheme="minorEastAsia" w:hAnsiTheme="minorEastAsia"/>
          <w:color w:val="auto"/>
          <w:sz w:val="24"/>
          <w:szCs w:val="24"/>
        </w:rPr>
        <w:t>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color w:val="auto"/>
          <w:sz w:val="24"/>
          <w:szCs w:val="24"/>
        </w:rPr>
        <w:t>按国际标准或经双方协商认可的标准、合同要求</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技术协议及</w:t>
      </w:r>
      <w:r>
        <w:rPr>
          <w:rFonts w:hint="eastAsia" w:asciiTheme="minorEastAsia" w:hAnsiTheme="minorEastAsia"/>
          <w:color w:val="auto"/>
          <w:sz w:val="24"/>
          <w:szCs w:val="24"/>
          <w:lang w:eastAsia="zh-CN"/>
        </w:rPr>
        <w:t>谈判文件要求</w:t>
      </w:r>
      <w:r>
        <w:rPr>
          <w:rFonts w:hint="eastAsia" w:asciiTheme="minorEastAsia" w:hAnsiTheme="minorEastAsia"/>
          <w:color w:val="auto"/>
          <w:sz w:val="24"/>
          <w:szCs w:val="24"/>
        </w:rPr>
        <w:t>执行。</w:t>
      </w:r>
      <w:r>
        <w:rPr>
          <w:rFonts w:hint="eastAsia" w:cs="Arial" w:asciiTheme="minorEastAsia" w:hAnsiTheme="minorEastAsia"/>
          <w:color w:val="auto"/>
          <w:sz w:val="24"/>
          <w:szCs w:val="24"/>
        </w:rPr>
        <w:t>仪器技术指标经验收合格后，出具验收报告并正式交付用户使用。免费提供视频培训或</w:t>
      </w:r>
      <w:r>
        <w:rPr>
          <w:rFonts w:hint="eastAsia" w:cs="Arial" w:asciiTheme="minorEastAsia" w:hAnsiTheme="minorEastAsia"/>
          <w:color w:val="auto"/>
          <w:sz w:val="24"/>
          <w:szCs w:val="24"/>
          <w:lang w:eastAsia="zh-CN"/>
        </w:rPr>
        <w:t>国内</w:t>
      </w:r>
      <w:r>
        <w:rPr>
          <w:rFonts w:hint="eastAsia" w:cs="Arial" w:asciiTheme="minorEastAsia" w:hAnsiTheme="minorEastAsia"/>
          <w:color w:val="auto"/>
          <w:sz w:val="24"/>
          <w:szCs w:val="24"/>
        </w:rPr>
        <w:t>培训，内容包括仪器的基本原理、操作应用及仪器的维护保养知识，直到用户能正常使用和维护仪器</w:t>
      </w:r>
      <w:r>
        <w:rPr>
          <w:rFonts w:hint="eastAsia" w:cs="Arial" w:asciiTheme="minorEastAsia" w:hAnsiTheme="minorEastAsia"/>
          <w:color w:val="auto"/>
          <w:sz w:val="24"/>
          <w:szCs w:val="24"/>
          <w:lang w:eastAsia="zh-CN"/>
        </w:rPr>
        <w:t>，海</w:t>
      </w:r>
      <w:r>
        <w:rPr>
          <w:rFonts w:hint="eastAsia" w:cs="Arial" w:asciiTheme="minorEastAsia" w:hAnsiTheme="minorEastAsia"/>
          <w:color w:val="auto"/>
          <w:sz w:val="24"/>
          <w:szCs w:val="24"/>
        </w:rPr>
        <w:t>外</w:t>
      </w:r>
      <w:r>
        <w:rPr>
          <w:rFonts w:hint="eastAsia" w:cs="Arial" w:asciiTheme="minorEastAsia" w:hAnsiTheme="minorEastAsia"/>
          <w:color w:val="auto"/>
          <w:sz w:val="24"/>
          <w:szCs w:val="24"/>
          <w:lang w:eastAsia="zh-CN"/>
        </w:rPr>
        <w:t>安装培训涉及的</w:t>
      </w:r>
      <w:r>
        <w:rPr>
          <w:rFonts w:hint="eastAsia" w:cs="Arial" w:asciiTheme="minorEastAsia" w:hAnsiTheme="minorEastAsia"/>
          <w:color w:val="auto"/>
          <w:sz w:val="24"/>
          <w:szCs w:val="24"/>
        </w:rPr>
        <w:t>交通、</w:t>
      </w:r>
      <w:r>
        <w:rPr>
          <w:rFonts w:hint="eastAsia" w:cs="Arial" w:asciiTheme="minorEastAsia" w:hAnsiTheme="minorEastAsia"/>
          <w:color w:val="auto"/>
          <w:sz w:val="24"/>
          <w:szCs w:val="24"/>
          <w:lang w:eastAsia="zh-CN"/>
        </w:rPr>
        <w:t>食</w:t>
      </w:r>
      <w:r>
        <w:rPr>
          <w:rFonts w:hint="eastAsia" w:cs="Arial" w:asciiTheme="minorEastAsia" w:hAnsiTheme="minorEastAsia"/>
          <w:color w:val="auto"/>
          <w:sz w:val="24"/>
          <w:szCs w:val="24"/>
        </w:rPr>
        <w:t>宿、人工</w:t>
      </w:r>
      <w:r>
        <w:rPr>
          <w:rFonts w:hint="eastAsia" w:cs="Arial" w:asciiTheme="minorEastAsia" w:hAnsiTheme="minorEastAsia"/>
          <w:color w:val="auto"/>
          <w:sz w:val="24"/>
          <w:szCs w:val="24"/>
          <w:lang w:eastAsia="zh-CN"/>
        </w:rPr>
        <w:t>等费用根据供应商报价方案结算。</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7</w:t>
      </w:r>
      <w:r>
        <w:rPr>
          <w:rFonts w:hint="eastAsia" w:cs="Arial" w:asciiTheme="minorEastAsia" w:hAnsiTheme="minorEastAsia"/>
          <w:color w:val="auto"/>
          <w:sz w:val="24"/>
          <w:szCs w:val="24"/>
        </w:rPr>
        <w:t>.</w:t>
      </w:r>
      <w:r>
        <w:rPr>
          <w:rFonts w:hint="eastAsia" w:asciiTheme="minorEastAsia" w:hAnsiTheme="minorEastAsia"/>
          <w:color w:val="auto"/>
          <w:sz w:val="24"/>
          <w:szCs w:val="24"/>
        </w:rPr>
        <w:t xml:space="preserve"> 包装和运输：卖方负责设备</w:t>
      </w:r>
      <w:r>
        <w:rPr>
          <w:rFonts w:hint="eastAsia" w:asciiTheme="minorEastAsia" w:hAnsiTheme="minorEastAsia"/>
          <w:color w:val="auto"/>
          <w:sz w:val="24"/>
          <w:szCs w:val="24"/>
          <w:lang w:eastAsia="zh-CN"/>
        </w:rPr>
        <w:t>送</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asciiTheme="minorEastAsia" w:hAnsiTheme="minorEastAsia"/>
          <w:color w:val="auto"/>
          <w:sz w:val="24"/>
          <w:szCs w:val="24"/>
        </w:rPr>
        <w:t>的包装和运输。包装必须坚固，能适用远距离的海运、空运及气候的变化，并能适应</w:t>
      </w:r>
      <w:r>
        <w:rPr>
          <w:rFonts w:hint="eastAsia" w:asciiTheme="minorEastAsia" w:hAnsiTheme="minorEastAsia"/>
          <w:color w:val="auto"/>
          <w:sz w:val="24"/>
          <w:szCs w:val="24"/>
          <w:lang w:eastAsia="zh-CN"/>
        </w:rPr>
        <w:t>海外</w:t>
      </w:r>
      <w:r>
        <w:rPr>
          <w:rFonts w:hint="eastAsia" w:asciiTheme="minorEastAsia" w:hAnsiTheme="minorEastAsia"/>
          <w:color w:val="auto"/>
          <w:sz w:val="24"/>
          <w:szCs w:val="24"/>
        </w:rPr>
        <w:t>铁路、公路运输。</w:t>
      </w:r>
    </w:p>
    <w:p>
      <w:pPr>
        <w:spacing w:line="440" w:lineRule="exact"/>
        <w:ind w:firstLine="462" w:firstLineChars="200"/>
        <w:rPr>
          <w:rFonts w:hint="eastAsia" w:ascii="宋体" w:hAnsi="宋体" w:eastAsia="宋体" w:cs="Times New Roman"/>
          <w:color w:val="auto"/>
          <w:kern w:val="0"/>
          <w:sz w:val="24"/>
          <w:szCs w:val="24"/>
          <w:lang w:val="zh-CN"/>
        </w:rPr>
      </w:pPr>
      <w:r>
        <w:rPr>
          <w:rFonts w:hint="eastAsia" w:cs="Arial" w:asciiTheme="minorEastAsia" w:hAnsiTheme="minorEastAsia"/>
          <w:color w:val="auto"/>
          <w:sz w:val="24"/>
          <w:szCs w:val="24"/>
          <w:lang w:val="en-US" w:eastAsia="zh-CN"/>
        </w:rPr>
        <w:t>8</w:t>
      </w:r>
      <w:r>
        <w:rPr>
          <w:rFonts w:hint="eastAsia" w:cs="Arial" w:asciiTheme="minorEastAsia" w:hAnsiTheme="minorEastAsia"/>
          <w:color w:val="auto"/>
          <w:sz w:val="24"/>
          <w:szCs w:val="24"/>
        </w:rPr>
        <w:t>.若此次谈判设备需配套使用耗材（试剂），耗材（试剂）需要一并进行报价，视情纳入计算经济分</w:t>
      </w:r>
      <w:r>
        <w:rPr>
          <w:rFonts w:hint="eastAsia" w:ascii="宋体" w:hAnsi="宋体" w:eastAsia="宋体" w:cs="Times New Roman"/>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★（三）</w:t>
      </w:r>
      <w:r>
        <w:rPr>
          <w:rFonts w:hint="eastAsia" w:ascii="宋体" w:hAnsi="宋体" w:eastAsia="宋体" w:cs="Times New Roman"/>
          <w:color w:val="auto"/>
          <w:kern w:val="0"/>
          <w:sz w:val="24"/>
          <w:szCs w:val="24"/>
        </w:rPr>
        <w:t>专利权和保密要求</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（四）现场勘查</w:t>
      </w:r>
    </w:p>
    <w:p>
      <w:pPr>
        <w:adjustRightInd w:val="0"/>
        <w:snapToGrid w:val="0"/>
        <w:spacing w:line="440" w:lineRule="exact"/>
        <w:ind w:firstLine="462" w:firstLineChars="200"/>
        <w:rPr>
          <w:rFonts w:ascii="宋体" w:hAnsi="宋体" w:eastAsia="宋体" w:cs="Times New Roman"/>
          <w:b/>
          <w:color w:val="auto"/>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r>
        <w:rPr>
          <w:rFonts w:hint="eastAsia" w:cs="Times New Roman" w:asciiTheme="minorEastAsia" w:hAnsiTheme="minorEastAsia"/>
          <w:color w:val="auto"/>
          <w:kern w:val="0"/>
          <w:sz w:val="24"/>
          <w:szCs w:val="24"/>
          <w:lang w:val="zh-CN"/>
        </w:rPr>
        <w:t>1.本项目不组织现场勘查。</w:t>
      </w:r>
    </w:p>
    <w:p>
      <w:pPr>
        <w:pStyle w:val="3"/>
        <w:adjustRightInd w:val="0"/>
        <w:snapToGrid w:val="0"/>
        <w:spacing w:line="360" w:lineRule="atLeast"/>
        <w:jc w:val="center"/>
        <w:rPr>
          <w:rFonts w:ascii="黑体" w:hAnsi="黑体" w:eastAsia="黑体"/>
          <w:color w:val="auto"/>
          <w:kern w:val="0"/>
          <w:sz w:val="32"/>
          <w:szCs w:val="32"/>
        </w:rPr>
      </w:pPr>
      <w:bookmarkStart w:id="9" w:name="_Toc37780285"/>
      <w:bookmarkStart w:id="10" w:name="_Toc240432230"/>
      <w:bookmarkStart w:id="11" w:name="_Toc390713968"/>
      <w:bookmarkStart w:id="12" w:name="_Toc435540980"/>
      <w:bookmarkStart w:id="13" w:name="_Toc285612601"/>
      <w:r>
        <w:rPr>
          <w:rFonts w:hint="eastAsia" w:ascii="黑体" w:hAnsi="黑体" w:eastAsia="黑体"/>
          <w:color w:val="auto"/>
          <w:kern w:val="0"/>
          <w:sz w:val="32"/>
          <w:szCs w:val="32"/>
        </w:rPr>
        <w:t xml:space="preserve">第三部分  </w:t>
      </w:r>
      <w:r>
        <w:rPr>
          <w:rFonts w:hint="eastAsia" w:ascii="黑体" w:hAnsi="黑体" w:eastAsia="黑体"/>
          <w:color w:val="auto"/>
          <w:kern w:val="0"/>
          <w:sz w:val="32"/>
          <w:szCs w:val="32"/>
          <w:lang w:val="zh-CN"/>
        </w:rPr>
        <w:t>报价方</w:t>
      </w:r>
      <w:r>
        <w:rPr>
          <w:rFonts w:hint="eastAsia" w:ascii="黑体" w:hAnsi="黑体" w:eastAsia="黑体"/>
          <w:color w:val="auto"/>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说</w:t>
      </w: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明</w:t>
      </w:r>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（一）概述</w:t>
      </w:r>
    </w:p>
    <w:p>
      <w:pPr>
        <w:autoSpaceDE w:val="0"/>
        <w:autoSpaceDN w:val="0"/>
        <w:spacing w:line="360" w:lineRule="atLeas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snapToGrid w:val="0"/>
          <w:color w:val="auto"/>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2.“采购机构”系指组织本次谈判的</w:t>
      </w:r>
      <w:r>
        <w:rPr>
          <w:rFonts w:hint="eastAsia" w:ascii="宋体" w:hAnsi="宋体" w:eastAsia="宋体" w:cs="Times New Roman"/>
          <w:snapToGrid w:val="0"/>
          <w:color w:val="auto"/>
          <w:kern w:val="0"/>
          <w:sz w:val="24"/>
          <w:szCs w:val="24"/>
          <w:u w:val="single"/>
          <w:lang w:val="zh-CN"/>
        </w:rPr>
        <w:t xml:space="preserve">  物资采购中心  </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如报价方代表不是法定代表人，须持有《法定代表人授权书》（</w:t>
      </w:r>
      <w:r>
        <w:rPr>
          <w:rFonts w:hint="eastAsia" w:ascii="宋体" w:hAnsi="宋体" w:eastAsia="宋体" w:cs="Times New Roman"/>
          <w:color w:val="auto"/>
          <w:kern w:val="0"/>
          <w:sz w:val="24"/>
          <w:szCs w:val="24"/>
          <w:lang w:val="zh-CN"/>
        </w:rPr>
        <w:t>附件13</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（六）付款及结算方式</w:t>
      </w:r>
    </w:p>
    <w:p>
      <w:pPr>
        <w:autoSpaceDE w:val="0"/>
        <w:autoSpaceDN w:val="0"/>
        <w:adjustRightInd w:val="0"/>
        <w:snapToGrid w:val="0"/>
        <w:spacing w:line="440" w:lineRule="exact"/>
        <w:ind w:firstLine="462" w:firstLineChars="200"/>
        <w:rPr>
          <w:rFonts w:hint="eastAsia" w:eastAsia="宋体" w:cs="Tahoma"/>
          <w:color w:val="auto"/>
          <w:sz w:val="24"/>
          <w:szCs w:val="24"/>
          <w:highlight w:val="none"/>
          <w:lang w:val="en-US" w:eastAsia="zh-CN"/>
        </w:rPr>
      </w:pPr>
      <w:r>
        <w:rPr>
          <w:rFonts w:hint="eastAsia" w:ascii="宋体" w:hAnsi="宋体" w:eastAsia="宋体" w:cs="Times New Roman"/>
          <w:color w:val="auto"/>
          <w:kern w:val="0"/>
          <w:sz w:val="24"/>
          <w:szCs w:val="24"/>
          <w:lang w:val="zh-CN"/>
        </w:rPr>
        <w:t>1.</w:t>
      </w:r>
      <w:r>
        <w:rPr>
          <w:rFonts w:hint="eastAsia" w:cs="Times New Roman" w:asciiTheme="minorEastAsia" w:hAnsiTheme="minorEastAsia"/>
          <w:color w:val="auto"/>
          <w:kern w:val="0"/>
          <w:sz w:val="24"/>
          <w:szCs w:val="24"/>
          <w:lang w:val="zh-CN"/>
        </w:rPr>
        <w:t xml:space="preserve"> 本项目采购合同签订后支付合同总金额的</w:t>
      </w:r>
      <w:r>
        <w:rPr>
          <w:rFonts w:hint="eastAsia" w:cs="Times New Roman" w:asciiTheme="minorEastAsia" w:hAnsiTheme="minorEastAsia"/>
          <w:color w:val="auto"/>
          <w:kern w:val="0"/>
          <w:sz w:val="24"/>
          <w:szCs w:val="24"/>
          <w:lang w:val="en-US" w:eastAsia="zh-CN"/>
        </w:rPr>
        <w:t>30%</w:t>
      </w:r>
      <w:r>
        <w:rPr>
          <w:rFonts w:hint="eastAsia" w:cs="Times New Roman" w:asciiTheme="minorEastAsia" w:hAnsiTheme="minorEastAsia"/>
          <w:color w:val="auto"/>
          <w:kern w:val="0"/>
          <w:sz w:val="24"/>
          <w:szCs w:val="24"/>
          <w:lang w:val="zh-CN"/>
        </w:rPr>
        <w:t>，待所有货物</w:t>
      </w:r>
      <w:r>
        <w:rPr>
          <w:rFonts w:hint="eastAsia" w:eastAsia="宋体" w:cs="Tahoma"/>
          <w:color w:val="auto"/>
          <w:sz w:val="24"/>
          <w:szCs w:val="24"/>
          <w:highlight w:val="none"/>
          <w:lang w:eastAsia="zh-CN"/>
        </w:rPr>
        <w:t>送达国内指定港口离岸前支付至采购合同总金额的</w:t>
      </w:r>
      <w:r>
        <w:rPr>
          <w:rFonts w:hint="eastAsia" w:eastAsia="宋体" w:cs="Tahoma"/>
          <w:color w:val="auto"/>
          <w:sz w:val="24"/>
          <w:szCs w:val="24"/>
          <w:highlight w:val="none"/>
          <w:lang w:val="en-US" w:eastAsia="zh-CN"/>
        </w:rPr>
        <w:t>60%</w:t>
      </w:r>
      <w:r>
        <w:rPr>
          <w:rFonts w:hint="eastAsia" w:cs="Times New Roman" w:asciiTheme="minorEastAsia" w:hAnsiTheme="minorEastAsia"/>
          <w:color w:val="auto"/>
          <w:kern w:val="0"/>
          <w:sz w:val="24"/>
          <w:szCs w:val="24"/>
          <w:lang w:val="zh-CN"/>
        </w:rPr>
        <w:t>。</w:t>
      </w:r>
      <w:r>
        <w:rPr>
          <w:rFonts w:hint="eastAsia" w:eastAsia="宋体" w:cs="Tahoma"/>
          <w:color w:val="auto"/>
          <w:sz w:val="24"/>
          <w:szCs w:val="24"/>
          <w:highlight w:val="none"/>
          <w:lang w:val="en-US" w:eastAsia="zh-CN"/>
        </w:rPr>
        <w:t>安装验收合格后支付至采购合同总金额的90%，</w:t>
      </w:r>
      <w:r>
        <w:rPr>
          <w:rFonts w:hint="eastAsia" w:cs="Times New Roman" w:asciiTheme="minorEastAsia" w:hAnsiTheme="minorEastAsia"/>
          <w:color w:val="auto"/>
          <w:kern w:val="0"/>
          <w:sz w:val="24"/>
          <w:szCs w:val="24"/>
          <w:lang w:val="zh-CN"/>
        </w:rPr>
        <w:t>合同甲方凭发票、检验验收报告等办理结算，货款以银行转账方式直接支付到合同乙方账户。</w:t>
      </w:r>
      <w:r>
        <w:rPr>
          <w:rFonts w:hint="eastAsia" w:eastAsia="宋体" w:cs="Tahoma"/>
          <w:color w:val="auto"/>
          <w:sz w:val="24"/>
          <w:szCs w:val="24"/>
          <w:highlight w:val="none"/>
          <w:lang w:val="en-US" w:eastAsia="zh-CN"/>
        </w:rPr>
        <w:t>验收合格后正常使用且无质量问题12个月后支付采购合同总金额的剩余10%。</w:t>
      </w:r>
    </w:p>
    <w:p>
      <w:pPr>
        <w:autoSpaceDE w:val="0"/>
        <w:autoSpaceDN w:val="0"/>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（八）信息发布</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本采购项目需要公开的有关信息，采购机构均</w:t>
      </w:r>
      <w:r>
        <w:rPr>
          <w:rFonts w:hint="eastAsia" w:cs="Times New Roman" w:asciiTheme="minorEastAsia" w:hAnsiTheme="minorEastAsia"/>
          <w:snapToGrid w:val="0"/>
          <w:color w:val="auto"/>
          <w:kern w:val="0"/>
          <w:sz w:val="24"/>
          <w:szCs w:val="24"/>
          <w:lang w:val="zh-CN"/>
        </w:rPr>
        <w:t>通过《</w:t>
      </w:r>
      <w:r>
        <w:rPr>
          <w:rFonts w:hint="eastAsia" w:cs="Times New Roman" w:asciiTheme="minorEastAsia" w:hAnsiTheme="minorEastAsia"/>
          <w:snapToGrid w:val="0"/>
          <w:color w:val="auto"/>
          <w:kern w:val="0"/>
          <w:sz w:val="24"/>
          <w:szCs w:val="24"/>
          <w:lang w:val="zh-CN" w:eastAsia="zh-CN"/>
        </w:rPr>
        <w:t>军队采购</w:t>
      </w:r>
      <w:r>
        <w:rPr>
          <w:rFonts w:hint="eastAsia" w:cs="Times New Roman" w:asciiTheme="minorEastAsia" w:hAnsiTheme="minorEastAsia"/>
          <w:snapToGrid w:val="0"/>
          <w:color w:val="auto"/>
          <w:kern w:val="0"/>
          <w:sz w:val="24"/>
          <w:szCs w:val="24"/>
          <w:lang w:val="zh-CN"/>
        </w:rPr>
        <w:t>网》（www.</w:t>
      </w:r>
      <w:r>
        <w:rPr>
          <w:rFonts w:hint="eastAsia" w:cs="Times New Roman" w:asciiTheme="minorEastAsia" w:hAnsiTheme="minorEastAsia"/>
          <w:snapToGrid w:val="0"/>
          <w:color w:val="auto"/>
          <w:kern w:val="0"/>
          <w:sz w:val="24"/>
          <w:szCs w:val="24"/>
          <w:lang w:val="zh-CN" w:eastAsia="zh-CN"/>
        </w:rPr>
        <w:t>plap</w:t>
      </w:r>
      <w:r>
        <w:rPr>
          <w:rFonts w:hint="eastAsia" w:cs="Times New Roman" w:asciiTheme="minorEastAsia" w:hAnsiTheme="minorEastAsia"/>
          <w:snapToGrid w:val="0"/>
          <w:color w:val="auto"/>
          <w:kern w:val="0"/>
          <w:sz w:val="24"/>
          <w:szCs w:val="24"/>
          <w:lang w:val="zh-CN"/>
        </w:rPr>
        <w:t>.cn）、</w:t>
      </w:r>
      <w:r>
        <w:rPr>
          <w:rFonts w:hint="eastAsia" w:cs="Times New Roman" w:asciiTheme="minorEastAsia" w:hAnsiTheme="minorEastAsia"/>
          <w:snapToGrid w:val="0"/>
          <w:color w:val="auto"/>
          <w:kern w:val="0"/>
          <w:sz w:val="24"/>
          <w:szCs w:val="24"/>
          <w:lang w:val="zh-CN" w:eastAsia="zh-CN"/>
        </w:rPr>
        <w:t>中国政府采购网（www.ccgp.gov.cn）</w:t>
      </w:r>
      <w:r>
        <w:rPr>
          <w:rFonts w:hint="eastAsia" w:cs="Times New Roman" w:asciiTheme="minorEastAsia" w:hAnsiTheme="minorEastAsia"/>
          <w:snapToGrid w:val="0"/>
          <w:color w:val="auto"/>
          <w:kern w:val="0"/>
          <w:sz w:val="24"/>
          <w:szCs w:val="24"/>
          <w:lang w:val="zh-CN"/>
        </w:rPr>
        <w:t>及我院官网</w:t>
      </w:r>
      <w:r>
        <w:rPr>
          <w:rFonts w:hint="eastAsia" w:cs="Times New Roman" w:asciiTheme="minorEastAsia" w:hAnsiTheme="minorEastAsia"/>
          <w:snapToGrid w:val="0"/>
          <w:color w:val="auto"/>
          <w:kern w:val="0"/>
          <w:sz w:val="24"/>
          <w:szCs w:val="24"/>
        </w:rPr>
        <w:t>（www.xnyy.cn）</w:t>
      </w:r>
      <w:r>
        <w:rPr>
          <w:rFonts w:hint="eastAsia" w:cs="Times New Roman" w:asciiTheme="minorEastAsia" w:hAnsiTheme="minorEastAsia"/>
          <w:snapToGrid w:val="0"/>
          <w:color w:val="auto"/>
          <w:kern w:val="0"/>
          <w:sz w:val="24"/>
          <w:szCs w:val="24"/>
          <w:lang w:val="zh-CN"/>
        </w:rPr>
        <w:t>公开发布</w:t>
      </w:r>
      <w:r>
        <w:rPr>
          <w:rFonts w:hint="eastAsia" w:ascii="宋体" w:hAnsi="宋体" w:eastAsia="宋体" w:cs="Times New Roman"/>
          <w:color w:val="auto"/>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color w:val="auto"/>
          <w:kern w:val="0"/>
          <w:sz w:val="24"/>
          <w:szCs w:val="24"/>
          <w:lang w:val="zh-CN"/>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w:t>
      </w:r>
      <w:r>
        <w:rPr>
          <w:rFonts w:ascii="宋体" w:hAnsi="宋体" w:eastAsia="宋体" w:cs="Times New Roman"/>
          <w:color w:val="auto"/>
          <w:kern w:val="0"/>
          <w:sz w:val="24"/>
          <w:szCs w:val="24"/>
        </w:rPr>
        <w:t>文件</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（一）谈判文件的内容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（二）谈判文件的澄清</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（三）谈判文件的修改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报价文件编制</w:t>
      </w:r>
    </w:p>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（一）注意事项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（二）报价文件的语言及计量单位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1.报价书包括：</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(1)报价函（附件1）</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(2)报价一览表（附件2）</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hint="eastAsia" w:cs="Times New Roman" w:asciiTheme="minorEastAsia" w:hAnsiTheme="minorEastAsia"/>
          <w:snapToGrid w:val="0"/>
          <w:color w:val="auto"/>
          <w:kern w:val="0"/>
          <w:sz w:val="24"/>
          <w:szCs w:val="24"/>
        </w:rPr>
        <w:t>分项报价表</w:t>
      </w:r>
      <w:r>
        <w:rPr>
          <w:rFonts w:hint="eastAsia" w:ascii="宋体" w:hAnsi="宋体" w:eastAsia="宋体" w:cs="Times New Roman"/>
          <w:color w:val="auto"/>
          <w:kern w:val="0"/>
          <w:sz w:val="24"/>
          <w:szCs w:val="24"/>
        </w:rPr>
        <w:t>（附件3）</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hint="eastAsia" w:ascii="宋体" w:hAnsi="宋体" w:eastAsia="宋体" w:cs="Times New Roman"/>
          <w:snapToGrid w:val="0"/>
          <w:color w:val="auto"/>
          <w:kern w:val="0"/>
          <w:sz w:val="24"/>
          <w:szCs w:val="24"/>
        </w:rPr>
        <w:t>货物简要说明一览表（附件4）</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(5)主要技术性能参数表（附件5）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(6)技术指标参数响应偏离表（附件6）</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(7)主要商务条款响应偏离表（附件7）</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(8)交货清单（附件8）</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(9)</w:t>
      </w:r>
      <w:r>
        <w:rPr>
          <w:rFonts w:hint="eastAsia" w:ascii="宋体" w:hAnsi="宋体" w:eastAsia="宋体" w:cs="Times New Roman"/>
          <w:color w:val="auto"/>
          <w:kern w:val="0"/>
          <w:sz w:val="24"/>
          <w:szCs w:val="24"/>
        </w:rPr>
        <w:t>易损易耗件清单（附件9）</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w:t>
      </w:r>
      <w:r>
        <w:rPr>
          <w:rFonts w:hint="eastAsia" w:cs="Times New Roman" w:asciiTheme="minorEastAsia" w:hAnsiTheme="minorEastAsia"/>
          <w:color w:val="auto"/>
          <w:kern w:val="0"/>
          <w:sz w:val="24"/>
          <w:szCs w:val="24"/>
        </w:rPr>
        <w:t>专机配套耗材（试剂）明细表（附件10）</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w:t>
      </w:r>
      <w:r>
        <w:rPr>
          <w:rFonts w:hint="eastAsia" w:cs="Times New Roman" w:asciiTheme="minorEastAsia" w:hAnsiTheme="minorEastAsia"/>
          <w:color w:val="auto"/>
          <w:kern w:val="0"/>
          <w:sz w:val="24"/>
          <w:szCs w:val="24"/>
        </w:rPr>
        <w:t>报价方售后服务承诺</w:t>
      </w:r>
      <w:r>
        <w:rPr>
          <w:rFonts w:hint="eastAsia" w:ascii="宋体" w:hAnsi="宋体" w:eastAsia="宋体" w:cs="Times New Roman"/>
          <w:color w:val="auto"/>
          <w:kern w:val="0"/>
          <w:sz w:val="24"/>
          <w:szCs w:val="24"/>
        </w:rPr>
        <w:t>（附件11）</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w:t>
      </w:r>
      <w:r>
        <w:rPr>
          <w:rFonts w:hint="eastAsia" w:cs="Times New Roman" w:asciiTheme="minorEastAsia" w:hAnsiTheme="minorEastAsia"/>
          <w:snapToGrid w:val="0"/>
          <w:color w:val="auto"/>
          <w:kern w:val="0"/>
          <w:sz w:val="24"/>
          <w:szCs w:val="24"/>
          <w:lang w:val="zh-CN"/>
        </w:rPr>
        <w:t>生产厂家售后服务承诺（进口设备由总代提供，附件12</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w:t>
      </w:r>
      <w:r>
        <w:rPr>
          <w:rFonts w:hint="eastAsia" w:cs="Times New Roman" w:asciiTheme="minorEastAsia" w:hAnsiTheme="minorEastAsia"/>
          <w:snapToGrid w:val="0"/>
          <w:color w:val="auto"/>
          <w:kern w:val="0"/>
          <w:sz w:val="24"/>
          <w:szCs w:val="24"/>
          <w:lang w:val="zh-CN"/>
        </w:rPr>
        <w:t>近3年成交案例及同类项目案例</w:t>
      </w:r>
      <w:r>
        <w:rPr>
          <w:rFonts w:hint="eastAsia" w:ascii="宋体" w:hAnsi="宋体" w:eastAsia="宋体" w:cs="Times New Roman"/>
          <w:color w:val="auto"/>
          <w:kern w:val="0"/>
          <w:sz w:val="24"/>
          <w:szCs w:val="24"/>
        </w:rPr>
        <w:t>（附件13）</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snapToGrid w:val="0"/>
          <w:color w:val="auto"/>
          <w:kern w:val="0"/>
          <w:sz w:val="24"/>
          <w:szCs w:val="24"/>
          <w:lang w:val="zh-CN"/>
        </w:rPr>
        <w:t>(14)</w:t>
      </w:r>
      <w:r>
        <w:rPr>
          <w:rFonts w:hint="eastAsia" w:cs="Times New Roman" w:asciiTheme="minorEastAsia" w:hAnsiTheme="minorEastAsia"/>
          <w:color w:val="auto"/>
          <w:kern w:val="0"/>
          <w:sz w:val="24"/>
          <w:szCs w:val="24"/>
        </w:rPr>
        <w:t>产品相关检测报告</w:t>
      </w:r>
    </w:p>
    <w:p>
      <w:pPr>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(15)</w:t>
      </w:r>
      <w:r>
        <w:rPr>
          <w:rFonts w:hint="eastAsia" w:cs="Times New Roman" w:asciiTheme="minorEastAsia" w:hAnsiTheme="minorEastAsia"/>
          <w:color w:val="auto"/>
          <w:kern w:val="0"/>
          <w:sz w:val="24"/>
          <w:szCs w:val="24"/>
        </w:rPr>
        <w:t>技术评审表（附件14）</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(16)</w:t>
      </w:r>
      <w:r>
        <w:rPr>
          <w:rFonts w:hint="eastAsia" w:cs="Times New Roman" w:asciiTheme="minorEastAsia" w:hAnsiTheme="minorEastAsia"/>
          <w:color w:val="auto"/>
          <w:kern w:val="0"/>
          <w:sz w:val="24"/>
          <w:szCs w:val="24"/>
        </w:rPr>
        <w:t>商务评审表（附件15）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(17)</w:t>
      </w:r>
      <w:r>
        <w:rPr>
          <w:rFonts w:hint="eastAsia" w:cs="Times New Roman" w:asciiTheme="minorEastAsia" w:hAnsiTheme="minorEastAsia"/>
          <w:color w:val="auto"/>
          <w:kern w:val="0"/>
          <w:sz w:val="24"/>
          <w:szCs w:val="24"/>
        </w:rPr>
        <w:t>报价方认为需要加以说明的其他内容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(18)报价方</w:t>
      </w:r>
      <w:r>
        <w:rPr>
          <w:rFonts w:hint="eastAsia" w:cs="Times New Roman" w:asciiTheme="minorEastAsia" w:hAnsiTheme="minorEastAsia"/>
          <w:color w:val="auto"/>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(6)廉洁诚信承诺书</w:t>
      </w:r>
      <w:r>
        <w:rPr>
          <w:rFonts w:hint="eastAsia" w:cs="Times New Roman" w:asciiTheme="minorEastAsia" w:hAnsiTheme="minorEastAsia"/>
          <w:color w:val="auto"/>
          <w:kern w:val="0"/>
          <w:sz w:val="24"/>
          <w:szCs w:val="24"/>
        </w:rPr>
        <w:t>（附件20）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color w:val="auto"/>
          <w:kern w:val="0"/>
          <w:sz w:val="24"/>
          <w:szCs w:val="24"/>
        </w:rPr>
        <w:t>。（附件21）</w:t>
      </w:r>
    </w:p>
    <w:p>
      <w:pPr>
        <w:adjustRightInd w:val="0"/>
        <w:snapToGrid w:val="0"/>
        <w:spacing w:line="440" w:lineRule="exact"/>
        <w:ind w:firstLine="462" w:firstLineChars="200"/>
        <w:rPr>
          <w:rFonts w:hint="eastAsia"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)生产企业对代理公司参与报价的授权书（进口产品需提供原产厂家对中国总代的中英文授权书复印件或同步翻译件。附件22）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0</w:t>
      </w:r>
      <w:r>
        <w:rPr>
          <w:rFonts w:hint="eastAsia" w:cs="Times New Roman" w:asciiTheme="minorEastAsia" w:hAnsiTheme="minorEastAsia"/>
          <w:color w:val="auto"/>
          <w:kern w:val="0"/>
          <w:sz w:val="24"/>
          <w:szCs w:val="24"/>
        </w:rPr>
        <w:t>)报价方认为需要加以说明的其他内容</w:t>
      </w:r>
    </w:p>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(1</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color w:val="auto"/>
          <w:sz w:val="24"/>
          <w:szCs w:val="24"/>
        </w:rPr>
        <w:t>计量器具许可证、消毒产品生产企业卫生许可和消毒卫生产品安全评价报告</w:t>
      </w:r>
      <w:r>
        <w:rPr>
          <w:rFonts w:hint="eastAsia" w:cs="Times New Roman" w:asciiTheme="minorEastAsia" w:hAnsiTheme="minorEastAsia"/>
          <w:color w:val="auto"/>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（四）报价文件的格式规定和签署</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报价文件应当工整、规范、统一、清晰，</w:t>
      </w:r>
      <w:r>
        <w:rPr>
          <w:rFonts w:hint="eastAsia" w:ascii="宋体" w:hAnsi="宋体" w:eastAsia="宋体" w:cs="Times New Roman"/>
          <w:b/>
          <w:color w:val="auto"/>
          <w:kern w:val="0"/>
          <w:sz w:val="24"/>
          <w:szCs w:val="24"/>
        </w:rPr>
        <w:t>采用A4幅面纸胶装成册、标注页码</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2.</w:t>
      </w:r>
      <w:r>
        <w:rPr>
          <w:rFonts w:hint="eastAsia" w:ascii="宋体" w:hAnsi="宋体" w:eastAsia="宋体" w:cs="Times New Roman"/>
          <w:color w:val="auto"/>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3.报价方名称应当填写全称，同时加盖公章</w:t>
      </w:r>
      <w:r>
        <w:rPr>
          <w:rFonts w:hint="eastAsia" w:ascii="宋体" w:hAnsi="宋体" w:eastAsia="宋体" w:cs="Times New Roman"/>
          <w:snapToGrid w:val="0"/>
          <w:color w:val="auto"/>
          <w:kern w:val="0"/>
          <w:sz w:val="24"/>
          <w:szCs w:val="24"/>
        </w:rPr>
        <w:t>，</w:t>
      </w:r>
      <w:r>
        <w:rPr>
          <w:rFonts w:hint="eastAsia" w:ascii="宋体" w:hAnsi="宋体" w:eastAsia="宋体" w:cs="Times New Roman"/>
          <w:color w:val="auto"/>
          <w:kern w:val="0"/>
          <w:sz w:val="24"/>
          <w:szCs w:val="24"/>
          <w:lang w:val="zh-CN"/>
        </w:rPr>
        <w:t>公章与</w:t>
      </w:r>
      <w:r>
        <w:rPr>
          <w:rFonts w:hint="eastAsia" w:ascii="宋体" w:hAnsi="宋体" w:eastAsia="宋体" w:cs="Times New Roman"/>
          <w:snapToGrid w:val="0"/>
          <w:color w:val="auto"/>
          <w:kern w:val="0"/>
          <w:sz w:val="24"/>
          <w:szCs w:val="24"/>
        </w:rPr>
        <w:t>全称</w:t>
      </w:r>
      <w:r>
        <w:rPr>
          <w:rFonts w:hint="eastAsia" w:ascii="宋体" w:hAnsi="宋体" w:eastAsia="宋体" w:cs="Times New Roman"/>
          <w:color w:val="auto"/>
          <w:kern w:val="0"/>
          <w:sz w:val="24"/>
          <w:szCs w:val="24"/>
          <w:lang w:val="zh-CN"/>
        </w:rPr>
        <w:t>相符</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4.报价书、资格证明文件须单独封装。报价书一式</w:t>
      </w:r>
      <w:r>
        <w:rPr>
          <w:rFonts w:hint="eastAsia" w:ascii="宋体" w:hAnsi="宋体" w:eastAsia="宋体" w:cs="Times New Roman"/>
          <w:color w:val="auto"/>
          <w:kern w:val="0"/>
          <w:sz w:val="24"/>
          <w:szCs w:val="24"/>
          <w:u w:val="single"/>
        </w:rPr>
        <w:t xml:space="preserve"> 7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6 </w:t>
      </w:r>
      <w:r>
        <w:rPr>
          <w:rFonts w:hint="eastAsia" w:ascii="宋体" w:hAnsi="宋体" w:eastAsia="宋体" w:cs="Times New Roman"/>
          <w:color w:val="auto"/>
          <w:kern w:val="0"/>
          <w:sz w:val="24"/>
          <w:szCs w:val="24"/>
        </w:rPr>
        <w:t>份；资格证明文件一式</w:t>
      </w:r>
      <w:r>
        <w:rPr>
          <w:rFonts w:hint="eastAsia" w:ascii="宋体" w:hAnsi="宋体" w:eastAsia="宋体" w:cs="Times New Roman"/>
          <w:color w:val="auto"/>
          <w:kern w:val="0"/>
          <w:sz w:val="24"/>
          <w:szCs w:val="24"/>
          <w:u w:val="single"/>
        </w:rPr>
        <w:t xml:space="preserve"> 3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2 </w:t>
      </w:r>
      <w:r>
        <w:rPr>
          <w:rFonts w:hint="eastAsia" w:ascii="宋体" w:hAnsi="宋体" w:eastAsia="宋体" w:cs="Times New Roman"/>
          <w:color w:val="auto"/>
          <w:kern w:val="0"/>
          <w:sz w:val="24"/>
          <w:szCs w:val="24"/>
        </w:rPr>
        <w:t>份。在每一份文件上要注明“报价书”、“资格证明文件”、“正本”或“副本”字样。</w:t>
      </w:r>
      <w:r>
        <w:rPr>
          <w:rFonts w:hint="eastAsia" w:cs="Times New Roman" w:asciiTheme="minorEastAsia" w:hAnsiTheme="minorEastAsia"/>
          <w:color w:val="auto"/>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8.报价文件</w:t>
      </w:r>
      <w:r>
        <w:rPr>
          <w:rFonts w:hint="eastAsia" w:ascii="宋体" w:hAnsi="宋体" w:eastAsia="宋体" w:cs="Times New Roman"/>
          <w:color w:val="auto"/>
          <w:kern w:val="0"/>
          <w:sz w:val="24"/>
          <w:szCs w:val="24"/>
          <w:lang w:val="zh-CN"/>
        </w:rPr>
        <w:t>因字迹潦草或表述不清以及复印件不清所引起的后果由报价方自行负责</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（五）</w:t>
      </w:r>
      <w:r>
        <w:rPr>
          <w:rFonts w:hint="eastAsia" w:ascii="宋体" w:hAnsi="宋体" w:eastAsia="宋体" w:cs="Times New Roman"/>
          <w:snapToGrid w:val="0"/>
          <w:color w:val="auto"/>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报价文件自提交截止之日起</w:t>
      </w:r>
      <w:r>
        <w:rPr>
          <w:rFonts w:hint="eastAsia" w:ascii="宋体" w:hAnsi="宋体" w:eastAsia="宋体" w:cs="宋体"/>
          <w:snapToGrid w:val="0"/>
          <w:color w:val="auto"/>
          <w:kern w:val="0"/>
          <w:sz w:val="24"/>
          <w:szCs w:val="24"/>
          <w:lang w:val="zh-CN"/>
        </w:rPr>
        <w:t>180</w:t>
      </w:r>
      <w:r>
        <w:rPr>
          <w:rFonts w:hint="eastAsia" w:ascii="宋体" w:hAnsi="宋体" w:eastAsia="宋体" w:cs="Times New Roman"/>
          <w:color w:val="auto"/>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3.在采购过程中</w:t>
      </w:r>
      <w:r>
        <w:rPr>
          <w:rFonts w:hint="eastAsia" w:ascii="宋体" w:hAnsi="宋体" w:eastAsia="宋体" w:cs="Times New Roman"/>
          <w:color w:val="auto"/>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（六）谈判</w:t>
      </w:r>
      <w:r>
        <w:rPr>
          <w:rFonts w:hint="eastAsia" w:ascii="宋体" w:hAnsi="宋体" w:eastAsia="宋体" w:cs="Times New Roman"/>
          <w:snapToGrid w:val="0"/>
          <w:color w:val="auto"/>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所有报价均以人民币为货币单位</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所有单价和总价按照报价一览表和合同格式要求填报。</w:t>
      </w:r>
      <w:r>
        <w:rPr>
          <w:rFonts w:hint="eastAsia" w:ascii="宋体" w:hAnsi="宋体" w:eastAsia="宋体" w:cs="宋体"/>
          <w:snapToGrid w:val="0"/>
          <w:color w:val="auto"/>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宋体"/>
          <w:snapToGrid w:val="0"/>
          <w:color w:val="auto"/>
          <w:kern w:val="0"/>
          <w:sz w:val="24"/>
          <w:szCs w:val="24"/>
          <w:lang w:val="zh-CN"/>
        </w:rPr>
        <w:t>3.</w:t>
      </w:r>
      <w:r>
        <w:rPr>
          <w:rFonts w:hint="eastAsia" w:ascii="宋体" w:hAnsi="宋体" w:eastAsia="宋体" w:cs="Times New Roman"/>
          <w:color w:val="auto"/>
          <w:kern w:val="0"/>
          <w:sz w:val="24"/>
          <w:szCs w:val="24"/>
          <w:lang w:val="zh-CN"/>
        </w:rPr>
        <w:t>报价文件的大写金额与小写金额不一致的，以大写金额为准，</w:t>
      </w:r>
      <w:r>
        <w:rPr>
          <w:rFonts w:hint="eastAsia" w:cs="Times New Roman" w:asciiTheme="minorEastAsia" w:hAnsiTheme="minorEastAsia"/>
          <w:color w:val="auto"/>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color w:val="auto"/>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4.报价方</w:t>
      </w:r>
      <w:r>
        <w:rPr>
          <w:rFonts w:hint="eastAsia" w:ascii="宋体" w:hAnsi="宋体" w:eastAsia="宋体" w:cs="Times New Roman"/>
          <w:color w:val="auto"/>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w:t>
      </w:r>
      <w:r>
        <w:rPr>
          <w:rFonts w:ascii="宋体" w:hAnsi="宋体" w:eastAsia="宋体" w:cs="Times New Roman"/>
          <w:color w:val="auto"/>
          <w:kern w:val="0"/>
          <w:sz w:val="24"/>
          <w:szCs w:val="24"/>
        </w:rPr>
        <w:t>报价文件</w:t>
      </w:r>
      <w:r>
        <w:rPr>
          <w:rFonts w:hint="eastAsia" w:ascii="宋体" w:hAnsi="宋体" w:eastAsia="宋体" w:cs="Times New Roman"/>
          <w:color w:val="auto"/>
          <w:kern w:val="0"/>
          <w:sz w:val="24"/>
          <w:szCs w:val="24"/>
        </w:rPr>
        <w:t>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（一）报价文件密封及标记</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bCs/>
          <w:color w:val="auto"/>
          <w:kern w:val="0"/>
          <w:sz w:val="24"/>
          <w:szCs w:val="24"/>
        </w:rPr>
        <w:t>1.报价方应当将报价</w:t>
      </w:r>
      <w:r>
        <w:rPr>
          <w:rFonts w:hint="eastAsia" w:ascii="宋体" w:hAnsi="宋体" w:eastAsia="宋体" w:cs="Times New Roman"/>
          <w:color w:val="auto"/>
          <w:kern w:val="0"/>
          <w:sz w:val="24"/>
          <w:szCs w:val="24"/>
          <w:lang w:val="zh-CN"/>
        </w:rPr>
        <w:t>文件的正本和副本统一装入密封袋内，封口处应当有报价方单位公章，封面</w:t>
      </w:r>
      <w:r>
        <w:rPr>
          <w:rFonts w:hint="eastAsia" w:ascii="宋体" w:hAnsi="宋体" w:eastAsia="宋体" w:cs="Times New Roman"/>
          <w:color w:val="auto"/>
          <w:kern w:val="0"/>
          <w:sz w:val="24"/>
          <w:szCs w:val="24"/>
        </w:rPr>
        <w:t>上注明“报价文件、谈判项目名称、项目编号、包号、</w:t>
      </w:r>
      <w:r>
        <w:rPr>
          <w:rFonts w:hint="eastAsia" w:ascii="宋体" w:hAnsi="宋体" w:eastAsia="宋体" w:cs="Times New Roman"/>
          <w:color w:val="auto"/>
          <w:kern w:val="0"/>
          <w:sz w:val="24"/>
          <w:szCs w:val="24"/>
          <w:lang w:val="zh-CN"/>
        </w:rPr>
        <w:t>报价方</w:t>
      </w:r>
      <w:r>
        <w:rPr>
          <w:rFonts w:hint="eastAsia" w:ascii="宋体" w:hAnsi="宋体" w:eastAsia="宋体" w:cs="Times New Roman"/>
          <w:color w:val="auto"/>
          <w:kern w:val="0"/>
          <w:sz w:val="24"/>
          <w:szCs w:val="24"/>
        </w:rPr>
        <w:t>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lang w:val="zh-CN"/>
        </w:rPr>
        <w:t>（二）</w:t>
      </w:r>
      <w:r>
        <w:rPr>
          <w:rFonts w:hint="eastAsia" w:ascii="宋体" w:hAnsi="宋体" w:eastAsia="宋体" w:cs="Times New Roman"/>
          <w:snapToGrid w:val="0"/>
          <w:color w:val="auto"/>
          <w:kern w:val="0"/>
          <w:sz w:val="24"/>
          <w:szCs w:val="24"/>
        </w:rPr>
        <w:t>报价文件的修改和撤回</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4.谈判开始后，报价方不得撤回报价文件。</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五、谈判报价与评审</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（一）评审委员会</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（二）谈判方式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（三）评审要求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(1)严格遵守公平、公正、择优的原则；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(3)</w:t>
      </w:r>
      <w:r>
        <w:rPr>
          <w:rFonts w:hint="eastAsia" w:ascii="宋体" w:hAnsi="宋体" w:eastAsia="宋体" w:cs="宋体"/>
          <w:snapToGrid w:val="0"/>
          <w:color w:val="auto"/>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(4)报价最低不作为成交的保证。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2.评审有关要求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（四）评审方法</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成员技术、商务（不含价格因素）最终评分偏离</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全体成员评分均值±20%的，该成员的评分将被剔除，以其他评委的评分均值计算，作为该成员的评分计入总分值；</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所有成员评分均超出±20%时，直接以全体成员评分均值计算，不再剔除。</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报价方报价高于采购预算的，不得推荐为预成交供应商（经采购管理部门批准同意的除外）。</w:t>
      </w:r>
    </w:p>
    <w:p>
      <w:pP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br w:type="page"/>
      </w:r>
    </w:p>
    <w:p>
      <w:pPr>
        <w:adjustRightInd w:val="0"/>
        <w:snapToGrid w:val="0"/>
        <w:spacing w:line="440" w:lineRule="exact"/>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t>表1</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资格性和符合性审查表</w:t>
      </w:r>
    </w:p>
    <w:p>
      <w:pPr>
        <w:spacing w:line="440" w:lineRule="exact"/>
        <w:rPr>
          <w:rFonts w:ascii="宋体" w:hAnsi="宋体" w:eastAsia="宋体" w:cs="Times New Roman"/>
          <w:color w:val="auto"/>
          <w:kern w:val="0"/>
          <w:sz w:val="24"/>
          <w:szCs w:val="24"/>
        </w:rPr>
      </w:pPr>
      <w:r>
        <w:rPr>
          <w:rFonts w:ascii="宋体" w:hAnsi="宋体" w:eastAsia="宋体" w:cs="Times New Roman"/>
          <w:color w:val="auto"/>
          <w:kern w:val="0"/>
          <w:sz w:val="24"/>
          <w:szCs w:val="24"/>
        </w:rPr>
        <w:t>项目名称：                   项目编号：                            包号：</w:t>
      </w:r>
    </w:p>
    <w:tbl>
      <w:tblPr>
        <w:tblStyle w:val="20"/>
        <w:tblW w:w="4955" w:type="pct"/>
        <w:jc w:val="center"/>
        <w:tblLayout w:type="fixed"/>
        <w:tblCellMar>
          <w:top w:w="0" w:type="dxa"/>
          <w:left w:w="108" w:type="dxa"/>
          <w:bottom w:w="0" w:type="dxa"/>
          <w:right w:w="108" w:type="dxa"/>
        </w:tblCellMar>
      </w:tblPr>
      <w:tblGrid>
        <w:gridCol w:w="8980"/>
      </w:tblGrid>
      <w:tr>
        <w:tblPrEx>
          <w:tblCellMar>
            <w:top w:w="0" w:type="dxa"/>
            <w:left w:w="108" w:type="dxa"/>
            <w:bottom w:w="0" w:type="dxa"/>
            <w:right w:w="108" w:type="dxa"/>
          </w:tblCellMar>
        </w:tblPrEx>
        <w:trPr>
          <w:trHeight w:val="603" w:hRule="exact"/>
          <w:jc w:val="center"/>
        </w:trPr>
        <w:tc>
          <w:tcPr>
            <w:tcW w:w="8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黑体" w:hAnsi="黑体" w:eastAsia="黑体" w:cs="宋体"/>
                <w:color w:val="auto"/>
                <w:kern w:val="0"/>
                <w:szCs w:val="21"/>
              </w:rPr>
            </w:pPr>
            <w:r>
              <w:rPr>
                <w:rFonts w:hint="eastAsia" w:ascii="黑体" w:hAnsi="黑体" w:eastAsia="黑体" w:cs="宋体"/>
                <w:color w:val="auto"/>
                <w:kern w:val="0"/>
                <w:szCs w:val="21"/>
              </w:rPr>
              <w:t>审查项目</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黑体" w:hAnsi="宋体" w:eastAsia="黑体" w:cs="宋体"/>
                <w:bCs/>
                <w:color w:val="auto"/>
                <w:kern w:val="0"/>
                <w:szCs w:val="21"/>
              </w:rPr>
              <w:t>一、资格性审查内容</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1.工商营业执照（三证合一）（成立时间、注册资金）</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2.法定代表人资格证明书和授权书（含法定代表人身份证复印件）</w:t>
            </w:r>
          </w:p>
        </w:tc>
      </w:tr>
      <w:tr>
        <w:tblPrEx>
          <w:tblCellMar>
            <w:top w:w="0" w:type="dxa"/>
            <w:left w:w="108" w:type="dxa"/>
            <w:bottom w:w="0" w:type="dxa"/>
            <w:right w:w="108" w:type="dxa"/>
          </w:tblCellMar>
        </w:tblPrEx>
        <w:trPr>
          <w:trHeight w:val="1549"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color w:val="auto"/>
              </w:rPr>
              <w:t xml:space="preserve"> 相关声明书：</w:t>
            </w:r>
            <w:r>
              <w:rPr>
                <w:rFonts w:hint="eastAsia" w:ascii="宋体" w:hAnsi="宋体" w:eastAsia="宋体" w:cs="宋体"/>
                <w:color w:val="auto"/>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688"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color w:val="auto"/>
              </w:rPr>
              <w:t xml:space="preserve"> </w:t>
            </w:r>
            <w:r>
              <w:rPr>
                <w:rFonts w:hint="eastAsia" w:ascii="宋体" w:hAnsi="宋体" w:eastAsia="宋体" w:cs="宋体"/>
                <w:color w:val="auto"/>
                <w:kern w:val="0"/>
                <w:szCs w:val="21"/>
              </w:rPr>
              <w:t>生产企业营业执照（进口产品需提供国内总代理营业执照）</w:t>
            </w:r>
          </w:p>
        </w:tc>
      </w:tr>
      <w:tr>
        <w:tblPrEx>
          <w:tblCellMar>
            <w:top w:w="0" w:type="dxa"/>
            <w:left w:w="108" w:type="dxa"/>
            <w:bottom w:w="0" w:type="dxa"/>
            <w:right w:w="108" w:type="dxa"/>
          </w:tblCellMar>
        </w:tblPrEx>
        <w:trPr>
          <w:trHeight w:val="807"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5.</w:t>
            </w:r>
            <w:r>
              <w:rPr>
                <w:rFonts w:hint="eastAsia"/>
                <w:color w:val="auto"/>
              </w:rPr>
              <w:t xml:space="preserve"> </w:t>
            </w:r>
            <w:r>
              <w:rPr>
                <w:rFonts w:hint="eastAsia" w:ascii="宋体" w:hAnsi="宋体" w:eastAsia="宋体" w:cs="宋体"/>
                <w:color w:val="auto"/>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649"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6.</w:t>
            </w:r>
            <w:r>
              <w:rPr>
                <w:rFonts w:hint="eastAsia"/>
                <w:color w:val="auto"/>
              </w:rPr>
              <w:t xml:space="preserve"> </w:t>
            </w:r>
            <w:r>
              <w:rPr>
                <w:rFonts w:hint="eastAsia" w:ascii="宋体" w:hAnsi="宋体" w:eastAsia="宋体" w:cs="宋体"/>
                <w:color w:val="auto"/>
                <w:kern w:val="0"/>
                <w:szCs w:val="21"/>
              </w:rPr>
              <w:t>保密承诺书及廉洁诚信承诺书</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二、符合性审查内容</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1.报价书、资格证明文件密封完好</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2.报价文件签署、盖章齐全完整</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3.报价文件组成齐全完整</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4.报价文件有效期满足谈判文件要求</w:t>
            </w:r>
          </w:p>
        </w:tc>
      </w:tr>
      <w:tr>
        <w:tblPrEx>
          <w:tblCellMar>
            <w:top w:w="0" w:type="dxa"/>
            <w:left w:w="108" w:type="dxa"/>
            <w:bottom w:w="0" w:type="dxa"/>
            <w:right w:w="108" w:type="dxa"/>
          </w:tblCellMar>
        </w:tblPrEx>
        <w:trPr>
          <w:trHeight w:val="731" w:hRule="exact"/>
          <w:jc w:val="center"/>
        </w:trPr>
        <w:tc>
          <w:tcPr>
            <w:tcW w:w="8980"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b/>
                <w:color w:val="auto"/>
                <w:kern w:val="0"/>
                <w:szCs w:val="21"/>
              </w:rPr>
            </w:pPr>
            <w:r>
              <w:rPr>
                <w:rFonts w:hint="eastAsia" w:ascii="宋体" w:hAnsi="宋体" w:eastAsia="宋体" w:cs="宋体"/>
                <w:b/>
                <w:color w:val="auto"/>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adjustRightInd w:val="0"/>
        <w:snapToGrid w:val="0"/>
        <w:spacing w:line="440" w:lineRule="exact"/>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表2</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评审标准表</w:t>
      </w:r>
    </w:p>
    <w:tbl>
      <w:tblPr>
        <w:tblStyle w:val="21"/>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294"/>
        <w:gridCol w:w="6794"/>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序号</w:t>
            </w:r>
          </w:p>
        </w:tc>
        <w:tc>
          <w:tcPr>
            <w:tcW w:w="8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标准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r>
              <w:rPr>
                <w:rFonts w:hint="eastAsia" w:cs="Times New Roman" w:asciiTheme="minorEastAsia" w:hAnsiTheme="minorEastAsia" w:eastAsiaTheme="minorEastAsia"/>
                <w:b/>
                <w:bCs/>
                <w:color w:val="auto"/>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满足谈判文件要求且报价最低的为评审基准价</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852" w:type="dxa"/>
            <w:vAlign w:val="center"/>
          </w:tcPr>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海外服务经验</w:t>
            </w:r>
          </w:p>
        </w:tc>
        <w:tc>
          <w:tcPr>
            <w:tcW w:w="7088" w:type="dxa"/>
            <w:gridSpan w:val="2"/>
          </w:tcPr>
          <w:p>
            <w:pPr>
              <w:adjustRightInd w:val="0"/>
              <w:snapToGrid w:val="0"/>
              <w:spacing w:line="440" w:lineRule="exact"/>
              <w:rPr>
                <w:rFonts w:hint="eastAsia" w:cs="Times New Roman" w:asciiTheme="majorEastAsia" w:hAnsiTheme="majorEastAsia" w:eastAsiaTheme="majorEastAsia"/>
                <w:color w:val="auto"/>
                <w:kern w:val="0"/>
                <w:sz w:val="21"/>
                <w:szCs w:val="21"/>
                <w:lang w:eastAsia="zh-CN"/>
              </w:rPr>
            </w:pPr>
            <w:r>
              <w:rPr>
                <w:rFonts w:hint="eastAsia" w:cs="Times New Roman" w:asciiTheme="majorEastAsia" w:hAnsiTheme="majorEastAsia" w:eastAsiaTheme="majorEastAsia"/>
                <w:color w:val="auto"/>
                <w:kern w:val="0"/>
                <w:sz w:val="21"/>
                <w:szCs w:val="21"/>
              </w:rPr>
              <w:t>比较近三年（截止</w:t>
            </w:r>
            <w:r>
              <w:rPr>
                <w:rFonts w:hint="eastAsia" w:cs="Times New Roman" w:asciiTheme="majorEastAsia" w:hAnsiTheme="majorEastAsia" w:eastAsiaTheme="majorEastAsia"/>
                <w:color w:val="auto"/>
                <w:kern w:val="0"/>
                <w:sz w:val="21"/>
                <w:szCs w:val="21"/>
                <w:lang w:eastAsia="zh-CN"/>
              </w:rPr>
              <w:t>谈判</w:t>
            </w:r>
            <w:r>
              <w:rPr>
                <w:rFonts w:hint="eastAsia" w:cs="Times New Roman" w:asciiTheme="majorEastAsia" w:hAnsiTheme="majorEastAsia" w:eastAsiaTheme="majorEastAsia"/>
                <w:color w:val="auto"/>
                <w:kern w:val="0"/>
                <w:sz w:val="21"/>
                <w:szCs w:val="21"/>
              </w:rPr>
              <w:t>时间）</w:t>
            </w:r>
            <w:r>
              <w:rPr>
                <w:rFonts w:hint="eastAsia" w:cs="Times New Roman" w:asciiTheme="majorEastAsia" w:hAnsiTheme="majorEastAsia" w:eastAsiaTheme="majorEastAsia"/>
                <w:color w:val="auto"/>
                <w:kern w:val="0"/>
                <w:sz w:val="21"/>
                <w:szCs w:val="21"/>
                <w:lang w:eastAsia="zh-CN"/>
              </w:rPr>
              <w:t>报价方或产品生厂商海外销售、安装和维保的服务经验，</w:t>
            </w:r>
            <w:r>
              <w:rPr>
                <w:rFonts w:hint="eastAsia" w:cs="Times New Roman" w:asciiTheme="majorEastAsia" w:hAnsiTheme="majorEastAsia" w:eastAsiaTheme="majorEastAsia"/>
                <w:color w:val="auto"/>
                <w:kern w:val="0"/>
                <w:sz w:val="21"/>
                <w:szCs w:val="21"/>
              </w:rPr>
              <w:t>以提供的合同复印件为准，未盖章或盖章不清晰、总金额或数量不清晰的合同无效。</w:t>
            </w:r>
            <w:r>
              <w:rPr>
                <w:rFonts w:hint="eastAsia" w:cs="Times New Roman" w:asciiTheme="majorEastAsia" w:hAnsiTheme="majorEastAsia" w:eastAsiaTheme="majorEastAsia"/>
                <w:color w:val="auto"/>
                <w:kern w:val="0"/>
                <w:sz w:val="21"/>
                <w:szCs w:val="21"/>
              </w:rPr>
              <w:br w:type="textWrapping"/>
            </w:r>
            <w:r>
              <w:rPr>
                <w:rFonts w:hint="eastAsia" w:cs="Times New Roman" w:asciiTheme="minorEastAsia" w:hAnsiTheme="minorEastAsia"/>
                <w:color w:val="auto"/>
                <w:kern w:val="0"/>
                <w:sz w:val="21"/>
                <w:szCs w:val="21"/>
                <w:lang w:eastAsia="zh-CN"/>
              </w:rPr>
              <w:t>海外服务经验</w:t>
            </w:r>
            <w:r>
              <w:rPr>
                <w:rFonts w:hint="eastAsia" w:cs="Times New Roman" w:asciiTheme="majorEastAsia" w:hAnsiTheme="majorEastAsia" w:eastAsiaTheme="majorEastAsia"/>
                <w:color w:val="auto"/>
                <w:kern w:val="0"/>
                <w:sz w:val="21"/>
                <w:szCs w:val="21"/>
              </w:rPr>
              <w:t>得分=（</w:t>
            </w:r>
            <w:r>
              <w:rPr>
                <w:rFonts w:hint="eastAsia" w:cs="Times New Roman" w:asciiTheme="majorEastAsia" w:hAnsiTheme="majorEastAsia" w:eastAsiaTheme="majorEastAsia"/>
                <w:color w:val="auto"/>
                <w:kern w:val="0"/>
                <w:sz w:val="21"/>
                <w:szCs w:val="21"/>
                <w:lang w:eastAsia="zh-CN"/>
              </w:rPr>
              <w:t>报价方经验值</w:t>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）×标准分值</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=近三年（截止开标时间）</w:t>
            </w:r>
            <w:r>
              <w:rPr>
                <w:rFonts w:hint="eastAsia" w:cs="Times New Roman" w:asciiTheme="majorEastAsia" w:hAnsiTheme="majorEastAsia" w:eastAsiaTheme="majorEastAsia"/>
                <w:color w:val="auto"/>
                <w:kern w:val="0"/>
                <w:sz w:val="21"/>
                <w:szCs w:val="21"/>
                <w:lang w:eastAsia="zh-CN"/>
              </w:rPr>
              <w:t>报价方或产品生厂商海外销售、安装和维保的</w:t>
            </w:r>
            <w:r>
              <w:rPr>
                <w:rFonts w:hint="eastAsia" w:cs="Times New Roman" w:asciiTheme="majorEastAsia" w:hAnsiTheme="majorEastAsia" w:eastAsiaTheme="majorEastAsia"/>
                <w:color w:val="auto"/>
                <w:kern w:val="0"/>
                <w:sz w:val="21"/>
                <w:szCs w:val="21"/>
              </w:rPr>
              <w:t>有效合同累计最高数量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企业</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2.根据报价方近三年缴纳社保</w:t>
            </w:r>
            <w:r>
              <w:rPr>
                <w:rFonts w:hint="eastAsia" w:cs="Times New Roman" w:asciiTheme="majorEastAsia" w:hAnsiTheme="majorEastAsia" w:eastAsiaTheme="majorEastAsia"/>
                <w:b/>
                <w:color w:val="auto"/>
                <w:kern w:val="0"/>
                <w:sz w:val="21"/>
                <w:szCs w:val="21"/>
                <w:u w:val="single"/>
              </w:rPr>
              <w:t>总金额</w:t>
            </w:r>
            <w:r>
              <w:rPr>
                <w:rFonts w:hint="eastAsia" w:cs="Times New Roman" w:asciiTheme="majorEastAsia" w:hAnsiTheme="majorEastAsia" w:eastAsiaTheme="majorEastAsia"/>
                <w:color w:val="auto"/>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信  誉</w:t>
            </w: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1.报价方近两年连续获得税务部门颁发的企业纳税信用</w:t>
            </w:r>
            <w:r>
              <w:rPr>
                <w:rFonts w:hint="eastAsia" w:cs="Times New Roman" w:asciiTheme="majorEastAsia" w:hAnsiTheme="majorEastAsia" w:eastAsiaTheme="majorEastAsia"/>
                <w:b/>
                <w:color w:val="auto"/>
                <w:kern w:val="0"/>
                <w:sz w:val="21"/>
                <w:szCs w:val="21"/>
                <w:u w:val="single"/>
              </w:rPr>
              <w:t>A级</w:t>
            </w:r>
            <w:r>
              <w:rPr>
                <w:rFonts w:hint="eastAsia" w:cs="Times New Roman" w:asciiTheme="majorEastAsia" w:hAnsiTheme="majorEastAsia" w:eastAsiaTheme="majorEastAsia"/>
                <w:color w:val="auto"/>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2.报价方近一年获得银行颁发的资信（信用）</w:t>
            </w:r>
            <w:r>
              <w:rPr>
                <w:rFonts w:hint="eastAsia" w:cs="Times New Roman" w:asciiTheme="majorEastAsia" w:hAnsiTheme="majorEastAsia" w:eastAsiaTheme="majorEastAsia"/>
                <w:b/>
                <w:color w:val="auto"/>
                <w:kern w:val="0"/>
                <w:sz w:val="21"/>
                <w:szCs w:val="21"/>
                <w:u w:val="single"/>
              </w:rPr>
              <w:t>等级</w:t>
            </w:r>
            <w:r>
              <w:rPr>
                <w:rFonts w:hint="eastAsia" w:cs="Times New Roman" w:asciiTheme="majorEastAsia" w:hAnsiTheme="majorEastAsia" w:eastAsiaTheme="majorEastAsia"/>
                <w:color w:val="auto"/>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财务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六</w:t>
            </w:r>
          </w:p>
        </w:tc>
        <w:tc>
          <w:tcPr>
            <w:tcW w:w="852" w:type="dxa"/>
            <w:vAlign w:val="center"/>
          </w:tcPr>
          <w:p>
            <w:pPr>
              <w:adjustRightInd w:val="0"/>
              <w:snapToGrid w:val="0"/>
              <w:spacing w:line="440" w:lineRule="exact"/>
              <w:jc w:val="center"/>
              <w:rPr>
                <w:rFonts w:hint="eastAsia" w:cs="Times New Roman" w:asciiTheme="minorEastAsia" w:hAnsiTheme="minorEastAsia"/>
                <w:color w:val="auto"/>
                <w:kern w:val="0"/>
                <w:sz w:val="21"/>
                <w:szCs w:val="21"/>
                <w:lang w:eastAsia="zh-CN"/>
              </w:rPr>
            </w:pPr>
            <w:r>
              <w:rPr>
                <w:rFonts w:hint="eastAsia" w:cs="Times New Roman" w:asciiTheme="minorEastAsia" w:hAnsiTheme="minorEastAsia"/>
                <w:color w:val="auto"/>
                <w:kern w:val="0"/>
                <w:sz w:val="21"/>
                <w:szCs w:val="21"/>
                <w:lang w:eastAsia="zh-CN"/>
              </w:rPr>
              <w:t>交货</w:t>
            </w:r>
          </w:p>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期限</w:t>
            </w:r>
          </w:p>
        </w:tc>
        <w:tc>
          <w:tcPr>
            <w:tcW w:w="7088" w:type="dxa"/>
            <w:gridSpan w:val="2"/>
            <w:noWrap/>
          </w:tcPr>
          <w:p>
            <w:pPr>
              <w:spacing w:line="440" w:lineRule="exact"/>
              <w:rPr>
                <w:rFonts w:hint="default"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eastAsia="zh-CN"/>
              </w:rPr>
              <w:t>承诺到货期限</w:t>
            </w:r>
            <w:r>
              <w:rPr>
                <w:rFonts w:hint="eastAsia" w:cs="Times New Roman" w:asciiTheme="majorEastAsia" w:hAnsiTheme="majorEastAsia" w:eastAsiaTheme="majorEastAsia"/>
                <w:color w:val="auto"/>
                <w:kern w:val="0"/>
                <w:sz w:val="21"/>
                <w:szCs w:val="21"/>
                <w:lang w:val="en-US" w:eastAsia="zh-CN"/>
              </w:rPr>
              <w:t>45个日历日内</w:t>
            </w:r>
            <w:r>
              <w:rPr>
                <w:rFonts w:hint="eastAsia" w:cs="Times New Roman" w:asciiTheme="majorEastAsia" w:hAnsiTheme="majorEastAsia" w:eastAsiaTheme="majorEastAsia"/>
                <w:color w:val="auto"/>
                <w:kern w:val="0"/>
                <w:sz w:val="21"/>
                <w:szCs w:val="21"/>
              </w:rPr>
              <w:t>的得标准分值，</w:t>
            </w:r>
            <w:r>
              <w:rPr>
                <w:rFonts w:hint="eastAsia" w:cs="Times New Roman" w:asciiTheme="majorEastAsia" w:hAnsiTheme="majorEastAsia" w:eastAsiaTheme="majorEastAsia"/>
                <w:color w:val="auto"/>
                <w:kern w:val="0"/>
                <w:sz w:val="21"/>
                <w:szCs w:val="21"/>
                <w:lang w:val="en-US" w:eastAsia="zh-CN"/>
              </w:rPr>
              <w:t>60个日历日</w:t>
            </w:r>
            <w:r>
              <w:rPr>
                <w:rFonts w:hint="eastAsia" w:cs="Times New Roman" w:asciiTheme="majorEastAsia" w:hAnsiTheme="majorEastAsia" w:eastAsiaTheme="majorEastAsia"/>
                <w:color w:val="auto"/>
                <w:kern w:val="0"/>
                <w:sz w:val="21"/>
                <w:szCs w:val="21"/>
              </w:rPr>
              <w:t>的得</w:t>
            </w:r>
            <w:r>
              <w:rPr>
                <w:rFonts w:hint="eastAsia" w:cs="Times New Roman" w:asciiTheme="majorEastAsia" w:hAnsiTheme="majorEastAsia" w:eastAsiaTheme="majorEastAsia"/>
                <w:color w:val="auto"/>
                <w:kern w:val="0"/>
                <w:sz w:val="21"/>
                <w:szCs w:val="21"/>
                <w:lang w:val="en-US" w:eastAsia="zh-CN"/>
              </w:rPr>
              <w:t>1分，超出60个日历日的得0分。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color w:val="auto"/>
                <w:kern w:val="0"/>
                <w:sz w:val="21"/>
                <w:szCs w:val="21"/>
              </w:rPr>
            </w:pPr>
            <w:r>
              <w:rPr>
                <w:rFonts w:hint="eastAsia" w:cs="Times New Roman" w:asciiTheme="majorEastAsia" w:hAnsiTheme="majorEastAsia" w:eastAsiaTheme="majorEastAsia"/>
                <w:b/>
                <w:bCs/>
                <w:color w:val="auto"/>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1146" w:type="dxa"/>
            <w:gridSpan w:val="2"/>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eastAsiaTheme="minorEastAsia"/>
                <w:color w:val="auto"/>
                <w:kern w:val="0"/>
                <w:sz w:val="21"/>
                <w:szCs w:val="21"/>
              </w:rPr>
              <w:t>技术</w:t>
            </w:r>
            <w:r>
              <w:rPr>
                <w:rFonts w:hint="eastAsia" w:cs="Times New Roman" w:asciiTheme="minorEastAsia" w:hAnsiTheme="minorEastAsia"/>
                <w:color w:val="auto"/>
                <w:kern w:val="0"/>
                <w:sz w:val="21"/>
                <w:szCs w:val="21"/>
                <w:lang w:eastAsia="zh-CN"/>
              </w:rPr>
              <w:t>优势</w:t>
            </w:r>
          </w:p>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4</w:t>
            </w:r>
            <w:r>
              <w:rPr>
                <w:rFonts w:hint="eastAsia" w:cs="Times New Roman" w:asciiTheme="minorEastAsia" w:hAnsiTheme="minorEastAsia" w:eastAsiaTheme="minorEastAsia"/>
                <w:color w:val="auto"/>
                <w:kern w:val="0"/>
                <w:sz w:val="21"/>
                <w:szCs w:val="21"/>
              </w:rPr>
              <w:t>分）</w:t>
            </w:r>
          </w:p>
        </w:tc>
        <w:tc>
          <w:tcPr>
            <w:tcW w:w="6794" w:type="dxa"/>
            <w:noWrap/>
            <w:vAlign w:val="center"/>
          </w:tcPr>
          <w:p>
            <w:pPr>
              <w:adjustRightInd w:val="0"/>
              <w:snapToGrid w:val="0"/>
              <w:spacing w:line="440" w:lineRule="exact"/>
              <w:jc w:val="center"/>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w:t>
            </w:r>
            <w:r>
              <w:rPr>
                <w:rFonts w:cs="Times New Roman" w:asciiTheme="majorEastAsia" w:hAnsiTheme="majorEastAsia" w:eastAsiaTheme="majorEastAsia"/>
                <w:color w:val="auto"/>
                <w:kern w:val="0"/>
                <w:sz w:val="21"/>
                <w:szCs w:val="21"/>
              </w:rPr>
              <w:t xml:space="preserve"> 所投产品技术优势特色：最优得标准分，依次递减</w:t>
            </w:r>
            <w:r>
              <w:rPr>
                <w:rFonts w:hint="eastAsia" w:cs="Times New Roman" w:asciiTheme="majorEastAsia" w:hAnsiTheme="majorEastAsia" w:eastAsiaTheme="majorEastAsia"/>
                <w:color w:val="auto"/>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1146"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产品技术性能指标参数满足偏离情况（45分）</w:t>
            </w:r>
          </w:p>
        </w:tc>
        <w:tc>
          <w:tcPr>
            <w:tcW w:w="6794" w:type="dxa"/>
            <w:tcBorders>
              <w:bottom w:val="single" w:color="auto" w:sz="4" w:space="0"/>
            </w:tcBorders>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 关键重要技术指标参数（★）、重要指标参数（▲）正偏离，每条加</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分，最多加1</w:t>
            </w:r>
            <w:r>
              <w:rPr>
                <w:rFonts w:hint="eastAsia" w:cs="Times New Roman" w:asciiTheme="majorEastAsia" w:hAnsiTheme="majorEastAsia" w:eastAsiaTheme="majorEastAsia"/>
                <w:color w:val="auto"/>
                <w:kern w:val="0"/>
                <w:sz w:val="21"/>
                <w:szCs w:val="21"/>
                <w:lang w:val="en-US" w:eastAsia="zh-CN"/>
              </w:rPr>
              <w:t>5</w:t>
            </w:r>
            <w:r>
              <w:rPr>
                <w:rFonts w:hint="eastAsia" w:cs="Times New Roman" w:asciiTheme="majorEastAsia" w:hAnsiTheme="majorEastAsia" w:eastAsiaTheme="majorEastAsia"/>
                <w:color w:val="auto"/>
                <w:kern w:val="0"/>
                <w:sz w:val="21"/>
                <w:szCs w:val="21"/>
              </w:rPr>
              <w:t>分；</w:t>
            </w:r>
          </w:p>
          <w:p>
            <w:pPr>
              <w:adjustRightInd w:val="0"/>
              <w:snapToGrid w:val="0"/>
              <w:spacing w:line="440" w:lineRule="exact"/>
              <w:rPr>
                <w:rFonts w:cs="Times New Roman" w:asciiTheme="majorEastAsia" w:hAnsiTheme="majorEastAsia" w:eastAsiaTheme="majorEastAsia"/>
                <w:color w:val="auto"/>
                <w:kern w:val="0"/>
                <w:sz w:val="21"/>
                <w:szCs w:val="21"/>
                <w:lang w:val="zh-CN"/>
              </w:rPr>
            </w:pPr>
            <w:r>
              <w:rPr>
                <w:rFonts w:hint="eastAsia" w:cs="Times New Roman" w:asciiTheme="majorEastAsia" w:hAnsiTheme="majorEastAsia" w:eastAsiaTheme="majorEastAsia"/>
                <w:color w:val="auto"/>
                <w:kern w:val="0"/>
                <w:sz w:val="21"/>
                <w:szCs w:val="21"/>
              </w:rPr>
              <w:t>2.</w:t>
            </w:r>
            <w:r>
              <w:rPr>
                <w:rFonts w:hint="eastAsia" w:cs="Times New Roman" w:asciiTheme="minorEastAsia" w:hAnsiTheme="minorEastAsia" w:eastAsiaTheme="minorEastAsia"/>
                <w:color w:val="auto"/>
                <w:kern w:val="0"/>
                <w:sz w:val="24"/>
                <w:szCs w:val="24"/>
                <w:lang w:val="zh-CN"/>
              </w:rPr>
              <w:t xml:space="preserve"> </w:t>
            </w:r>
            <w:r>
              <w:rPr>
                <w:rFonts w:hint="eastAsia" w:cs="Times New Roman" w:asciiTheme="majorEastAsia" w:hAnsiTheme="majorEastAsia" w:eastAsiaTheme="majorEastAsia"/>
                <w:color w:val="auto"/>
                <w:kern w:val="0"/>
                <w:sz w:val="21"/>
                <w:szCs w:val="21"/>
                <w:lang w:val="zh-CN"/>
              </w:rPr>
              <w:t>一般技术指标参数正偏离每条加</w:t>
            </w:r>
            <w:r>
              <w:rPr>
                <w:rFonts w:hint="eastAsia" w:cs="Times New Roman" w:asciiTheme="majorEastAsia" w:hAnsiTheme="majorEastAsia" w:eastAsiaTheme="majorEastAsia"/>
                <w:color w:val="auto"/>
                <w:kern w:val="0"/>
                <w:sz w:val="21"/>
                <w:szCs w:val="21"/>
                <w:lang w:val="en-US" w:eastAsia="zh-CN"/>
              </w:rPr>
              <w:t>0</w:t>
            </w:r>
            <w:r>
              <w:rPr>
                <w:rFonts w:hint="eastAsia" w:cs="Times New Roman" w:asciiTheme="majorEastAsia" w:hAnsiTheme="majorEastAsia" w:eastAsiaTheme="majorEastAsia"/>
                <w:color w:val="auto"/>
                <w:kern w:val="0"/>
                <w:sz w:val="21"/>
                <w:szCs w:val="21"/>
                <w:lang w:val="zh-CN"/>
              </w:rPr>
              <w:t>.5分，最多加</w:t>
            </w:r>
            <w:r>
              <w:rPr>
                <w:rFonts w:hint="eastAsia" w:cs="Times New Roman" w:asciiTheme="majorEastAsia" w:hAnsiTheme="majorEastAsia" w:eastAsiaTheme="majorEastAsia"/>
                <w:color w:val="auto"/>
                <w:kern w:val="0"/>
                <w:sz w:val="21"/>
                <w:szCs w:val="21"/>
                <w:lang w:val="en-US" w:eastAsia="zh-CN"/>
              </w:rPr>
              <w:t>10</w:t>
            </w:r>
            <w:r>
              <w:rPr>
                <w:rFonts w:hint="eastAsia" w:cs="Times New Roman" w:asciiTheme="majorEastAsia" w:hAnsiTheme="majorEastAsia" w:eastAsiaTheme="majorEastAsia"/>
                <w:color w:val="auto"/>
                <w:kern w:val="0"/>
                <w:sz w:val="21"/>
                <w:szCs w:val="21"/>
                <w:lang w:val="zh-CN"/>
              </w:rPr>
              <w:t>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zh-CN"/>
              </w:rPr>
              <w:t>3.</w:t>
            </w:r>
            <w:r>
              <w:rPr>
                <w:rFonts w:hint="eastAsia" w:cs="Times New Roman" w:asciiTheme="majorEastAsia" w:hAnsiTheme="majorEastAsia" w:eastAsiaTheme="majorEastAsia"/>
                <w:color w:val="auto"/>
                <w:kern w:val="0"/>
                <w:sz w:val="21"/>
                <w:szCs w:val="21"/>
              </w:rPr>
              <w:t xml:space="preserve"> 重要指标参数（▲）负偏离，每条扣</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分，扣完为止；</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4.</w:t>
            </w:r>
            <w:r>
              <w:rPr>
                <w:rFonts w:hint="eastAsia" w:cs="Times New Roman" w:asciiTheme="majorEastAsia" w:hAnsiTheme="majorEastAsia" w:eastAsiaTheme="majorEastAsia"/>
                <w:color w:val="auto"/>
                <w:kern w:val="0"/>
                <w:sz w:val="21"/>
                <w:szCs w:val="21"/>
                <w:lang w:val="zh-CN"/>
              </w:rPr>
              <w:t xml:space="preserve"> 一般技术指标参数</w:t>
            </w:r>
            <w:r>
              <w:rPr>
                <w:rFonts w:hint="eastAsia" w:cs="Times New Roman" w:asciiTheme="majorEastAsia" w:hAnsiTheme="majorEastAsia" w:eastAsiaTheme="majorEastAsia"/>
                <w:color w:val="auto"/>
                <w:kern w:val="0"/>
                <w:sz w:val="21"/>
                <w:szCs w:val="21"/>
              </w:rPr>
              <w:t>负偏离，每条扣</w:t>
            </w:r>
            <w:r>
              <w:rPr>
                <w:rFonts w:hint="eastAsia" w:cs="Times New Roman" w:asciiTheme="majorEastAsia" w:hAnsiTheme="majorEastAsia" w:eastAsiaTheme="majorEastAsia"/>
                <w:color w:val="auto"/>
                <w:kern w:val="0"/>
                <w:sz w:val="21"/>
                <w:szCs w:val="21"/>
                <w:lang w:val="en-US" w:eastAsia="zh-CN"/>
              </w:rPr>
              <w:t>0.5</w:t>
            </w:r>
            <w:r>
              <w:rPr>
                <w:rFonts w:hint="eastAsia" w:cs="Times New Roman" w:asciiTheme="majorEastAsia" w:hAnsiTheme="majorEastAsia" w:eastAsiaTheme="majorEastAsia"/>
                <w:color w:val="auto"/>
                <w:kern w:val="0"/>
                <w:sz w:val="21"/>
                <w:szCs w:val="21"/>
              </w:rPr>
              <w:t>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1146"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794" w:type="dxa"/>
            <w:tcBorders>
              <w:top w:val="single" w:color="auto" w:sz="4" w:space="0"/>
            </w:tcBorders>
            <w:shd w:val="clear" w:color="auto" w:fill="auto"/>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1146"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售后</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服务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11</w:t>
            </w:r>
            <w:r>
              <w:rPr>
                <w:rFonts w:hint="eastAsia" w:cs="Times New Roman" w:asciiTheme="minorEastAsia" w:hAnsiTheme="minorEastAsia" w:eastAsiaTheme="minorEastAsia"/>
                <w:color w:val="auto"/>
                <w:kern w:val="0"/>
                <w:sz w:val="21"/>
                <w:szCs w:val="21"/>
              </w:rPr>
              <w:t>分）</w:t>
            </w:r>
          </w:p>
        </w:tc>
        <w:tc>
          <w:tcPr>
            <w:tcW w:w="6794"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color w:val="auto"/>
                <w:kern w:val="0"/>
                <w:sz w:val="21"/>
                <w:szCs w:val="21"/>
                <w:u w:val="single"/>
              </w:rPr>
              <w:t>主要零配件价格</w:t>
            </w:r>
            <w:r>
              <w:rPr>
                <w:rFonts w:hint="eastAsia" w:cs="Times New Roman" w:asciiTheme="minorEastAsia" w:hAnsiTheme="minorEastAsia" w:eastAsiaTheme="minorEastAsia"/>
                <w:color w:val="auto"/>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adjustRightInd w:val="0"/>
              <w:snapToGrid w:val="0"/>
              <w:spacing w:line="440" w:lineRule="exact"/>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海外安装维保报价方案：</w:t>
            </w:r>
            <w:r>
              <w:rPr>
                <w:rFonts w:hint="eastAsia" w:cs="Times New Roman" w:asciiTheme="minorEastAsia" w:hAnsiTheme="minorEastAsia" w:eastAsiaTheme="minorEastAsia"/>
                <w:color w:val="auto"/>
                <w:kern w:val="0"/>
                <w:sz w:val="21"/>
                <w:szCs w:val="21"/>
              </w:rPr>
              <w:t>满足谈判文件要求的基础上，</w:t>
            </w:r>
            <w:r>
              <w:rPr>
                <w:rFonts w:hint="eastAsia" w:cs="Times New Roman" w:asciiTheme="minorEastAsia" w:hAnsiTheme="minorEastAsia"/>
                <w:color w:val="auto"/>
                <w:kern w:val="0"/>
                <w:sz w:val="21"/>
                <w:szCs w:val="21"/>
                <w:lang w:eastAsia="zh-CN"/>
              </w:rPr>
              <w:t>根据对海外安装维保所需的人工、食宿、交通等报价方案进行排名，方案最优</w:t>
            </w:r>
            <w:r>
              <w:rPr>
                <w:rFonts w:hint="eastAsia" w:cs="Times New Roman" w:asciiTheme="minorEastAsia" w:hAnsiTheme="minorEastAsia" w:eastAsiaTheme="minorEastAsia"/>
                <w:color w:val="auto"/>
                <w:kern w:val="0"/>
                <w:sz w:val="21"/>
                <w:szCs w:val="21"/>
              </w:rPr>
              <w:t>的得标准分值，依次按标准分值25%递减，最低得0分。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Borders>
              <w:bottom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技术支持和服务网点：</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1.产品和品牌具有较高知名度及广泛普及度，提供指定地点的现场服务支持，具备</w:t>
            </w:r>
            <w:r>
              <w:rPr>
                <w:rFonts w:hint="eastAsia" w:cs="Times New Roman" w:asciiTheme="minorEastAsia" w:hAnsiTheme="minorEastAsia"/>
                <w:color w:val="auto"/>
                <w:kern w:val="0"/>
                <w:sz w:val="21"/>
                <w:szCs w:val="21"/>
                <w:lang w:eastAsia="zh-CN"/>
              </w:rPr>
              <w:t>全球主要城市</w:t>
            </w:r>
            <w:r>
              <w:rPr>
                <w:rFonts w:hint="eastAsia" w:cs="Times New Roman" w:asciiTheme="minorEastAsia" w:hAnsiTheme="minorEastAsia" w:eastAsiaTheme="minorEastAsia"/>
                <w:color w:val="auto"/>
                <w:kern w:val="0"/>
                <w:sz w:val="21"/>
                <w:szCs w:val="21"/>
              </w:rPr>
              <w:t>的售后服务网络和对应的24小时服务支持热线且技术力量能满足部队维修服务需求的得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分，不满足得0分；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2.根据</w:t>
            </w:r>
            <w:r>
              <w:rPr>
                <w:rFonts w:hint="eastAsia" w:cs="Times New Roman" w:asciiTheme="minorEastAsia" w:hAnsiTheme="minorEastAsia"/>
                <w:color w:val="auto"/>
                <w:kern w:val="0"/>
                <w:sz w:val="21"/>
                <w:szCs w:val="21"/>
                <w:lang w:eastAsia="zh-CN"/>
              </w:rPr>
              <w:t>海外</w:t>
            </w:r>
            <w:r>
              <w:rPr>
                <w:rFonts w:hint="eastAsia" w:cs="Times New Roman" w:asciiTheme="minorEastAsia" w:hAnsiTheme="minorEastAsia" w:eastAsiaTheme="minorEastAsia"/>
                <w:color w:val="auto"/>
                <w:kern w:val="0"/>
                <w:sz w:val="21"/>
                <w:szCs w:val="21"/>
              </w:rPr>
              <w:t>服务网点数量排名，第一名得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分，依次按标准分值25%递减，最低得0分。</w:t>
            </w:r>
          </w:p>
        </w:tc>
        <w:tc>
          <w:tcPr>
            <w:tcW w:w="708" w:type="dxa"/>
            <w:tcBorders>
              <w:bottom w:val="single" w:color="auto" w:sz="4" w:space="0"/>
            </w:tcBorders>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1146"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794" w:type="dxa"/>
            <w:tcBorders>
              <w:top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bl>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（五）谈判程序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13.评审委员会依据经过复核的评审结果，对报价方进行排序并推荐预成交供应商。</w:t>
      </w:r>
    </w:p>
    <w:p>
      <w:pPr>
        <w:spacing w:line="440" w:lineRule="exact"/>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本项目只确认一家成交供应商。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(1)谈判日期和地点；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(3)评审方法；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(6)评审委员会成交建议。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 报价有效期不符合谈判文件要求的；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(1)不具备谈判文件中规定的资格性要求的；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(2)法人代表授权不符合要求的；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(3)属于禁止参加报价的供应商的；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(4)不符合法律、法规、规章规定的资格性要求的；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hint="eastAsia" w:cs="Times New Roman" w:asciiTheme="minorEastAsia" w:hAnsiTheme="minorEastAsia"/>
          <w:color w:val="auto"/>
          <w:kern w:val="0"/>
          <w:sz w:val="24"/>
          <w:szCs w:val="24"/>
        </w:rPr>
        <w:t xml:space="preserve"> </w:t>
      </w:r>
      <w:r>
        <w:rPr>
          <w:rFonts w:hint="eastAsia" w:ascii="宋体" w:hAnsi="宋体" w:eastAsia="宋体" w:cs="Times New Roman"/>
          <w:color w:val="auto"/>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5.在商务评审过程中，有下列情形之一的，其报价将被否决：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(2)报价方参与项目前期咨询或谈判文件编制的；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(4)报价文件未按谈判文件的要求签署的；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(8)报价高于谈判文件设定的最高报价限价的（若有）；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(9)报价方有串通报价、弄虚作假、行贿等违法行为的；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(10)存在谈判文件中规定的否决报价的其他商务条款的。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6.技术评审过程中，有下列情形之一的，其报价将被否决：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(5)存在谈判文件中规定的否决报价的其他技术条款的。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(1)报价方之间协商报价等报价文件的实质性内容的；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(2)报价方之间约定成交供应商的；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(3)报价方之间约定部分报价方放弃报价或者成交的；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(1)不同报价方的报价文件由同一单位或者个人编制的；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(2)不同报价方委托同一单位或者个人办理谈判事宜的；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(5)不同报价方的报价文件相互混装的；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(3)采购机构明示或者暗示报价方压低或者抬高报价的；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(4)采购机构授意报价方撤换、修改报价文件的；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(2)使用伪造、变造的许可证件的；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(3)提供虚假的财务状况或者业绩的；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(5)提供虚假信用状况的；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(6)提供虚假样品或借用、冒用其他供应商样品的；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(7)其他弄虚作假行为的。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11.有下列情形之一的，应当终止谈判：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(1)参加谈判的供应商均被淘汰的；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(3)其他无法继续开展谈判或者无法成交的情形；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(4)因重大变故，取消采购任务的。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color w:val="auto"/>
          <w:kern w:val="0"/>
          <w:sz w:val="24"/>
          <w:szCs w:val="24"/>
        </w:rPr>
      </w:pPr>
      <w:r>
        <w:rPr>
          <w:rFonts w:ascii="宋体" w:hAnsi="宋体" w:eastAsia="宋体" w:cs="Times New Roman"/>
          <w:color w:val="auto"/>
          <w:kern w:val="0"/>
          <w:sz w:val="24"/>
          <w:szCs w:val="24"/>
        </w:rPr>
        <w:tab/>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质疑与投诉</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w:t>
      </w:r>
      <w:r>
        <w:rPr>
          <w:rFonts w:hint="eastAsia" w:cs="Times New Roman" w:asciiTheme="minorEastAsia" w:hAnsiTheme="minorEastAsia"/>
          <w:color w:val="auto"/>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处理机构</w:t>
      </w:r>
      <w:r>
        <w:rPr>
          <w:rFonts w:ascii="宋体" w:hAnsi="宋体" w:eastAsia="宋体" w:cs="Times New Roman"/>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color w:val="auto"/>
          <w:kern w:val="0"/>
          <w:sz w:val="24"/>
          <w:szCs w:val="24"/>
        </w:rPr>
        <w:t>1.</w:t>
      </w:r>
      <w:r>
        <w:rPr>
          <w:rFonts w:cs="Times New Roman" w:asciiTheme="minorEastAsia" w:hAnsiTheme="minorEastAsia"/>
          <w:color w:val="auto"/>
          <w:kern w:val="0"/>
          <w:sz w:val="24"/>
          <w:szCs w:val="24"/>
        </w:rPr>
        <w:t>联系人：</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w:t>
      </w:r>
      <w:r>
        <w:rPr>
          <w:rFonts w:cs="Times New Roman" w:asciiTheme="minorEastAsia" w:hAnsiTheme="minorEastAsia"/>
          <w:color w:val="auto"/>
          <w:kern w:val="0"/>
          <w:sz w:val="24"/>
          <w:szCs w:val="24"/>
        </w:rPr>
        <w:t>电</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话：</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cs="Times New Roman" w:asciiTheme="minorEastAsia" w:hAnsiTheme="minorEastAsia"/>
          <w:color w:val="auto"/>
          <w:kern w:val="0"/>
          <w:sz w:val="24"/>
          <w:szCs w:val="24"/>
        </w:rPr>
        <w:t>地</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址：</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w:t>
      </w:r>
      <w:r>
        <w:rPr>
          <w:rFonts w:cs="Times New Roman" w:asciiTheme="minorEastAsia" w:hAnsiTheme="minorEastAsia"/>
          <w:color w:val="auto"/>
          <w:kern w:val="0"/>
          <w:sz w:val="24"/>
          <w:szCs w:val="24"/>
        </w:rPr>
        <w:t>邮  编：</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400038                     </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（五）供应商</w:t>
      </w:r>
      <w:r>
        <w:rPr>
          <w:rFonts w:ascii="宋体" w:hAnsi="宋体" w:eastAsia="宋体" w:cs="Times New Roman"/>
          <w:color w:val="auto"/>
          <w:kern w:val="0"/>
          <w:sz w:val="24"/>
          <w:szCs w:val="24"/>
        </w:rPr>
        <w:t>认为下列事项使自己权益受到损害的，</w:t>
      </w:r>
      <w:r>
        <w:rPr>
          <w:rFonts w:hint="eastAsia" w:ascii="宋体" w:hAnsi="宋体" w:eastAsia="宋体" w:cs="Times New Roman"/>
          <w:color w:val="auto"/>
          <w:kern w:val="0"/>
          <w:sz w:val="24"/>
          <w:szCs w:val="24"/>
        </w:rPr>
        <w:t>可以</w:t>
      </w:r>
      <w:r>
        <w:rPr>
          <w:rFonts w:ascii="宋体" w:hAnsi="宋体" w:eastAsia="宋体" w:cs="Times New Roman"/>
          <w:color w:val="auto"/>
          <w:kern w:val="0"/>
          <w:sz w:val="24"/>
          <w:szCs w:val="24"/>
        </w:rPr>
        <w:t>在评审结果公示期内，向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提出书面质疑</w:t>
      </w:r>
      <w:r>
        <w:rPr>
          <w:rFonts w:hint="eastAsia" w:ascii="宋体" w:hAnsi="宋体" w:eastAsia="宋体" w:cs="Times New Roman"/>
          <w:color w:val="auto"/>
          <w:kern w:val="0"/>
          <w:sz w:val="24"/>
          <w:szCs w:val="24"/>
        </w:rPr>
        <w:t>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w:t>
      </w:r>
      <w:r>
        <w:rPr>
          <w:rFonts w:ascii="宋体" w:hAnsi="宋体" w:eastAsia="宋体" w:cs="Times New Roman"/>
          <w:color w:val="auto"/>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采购程序违反军队采购相关规定的；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3.供应商</w:t>
      </w:r>
      <w:r>
        <w:rPr>
          <w:rFonts w:ascii="宋体" w:hAnsi="宋体" w:eastAsia="宋体" w:cs="Times New Roman"/>
          <w:color w:val="auto"/>
          <w:kern w:val="0"/>
          <w:sz w:val="24"/>
          <w:szCs w:val="24"/>
        </w:rPr>
        <w:t>之间</w:t>
      </w:r>
      <w:r>
        <w:rPr>
          <w:rFonts w:hint="eastAsia" w:ascii="宋体" w:hAnsi="宋体" w:eastAsia="宋体" w:cs="Times New Roman"/>
          <w:color w:val="auto"/>
          <w:kern w:val="0"/>
          <w:sz w:val="24"/>
          <w:szCs w:val="24"/>
        </w:rPr>
        <w:t>或者采购机构与供应商之间</w:t>
      </w:r>
      <w:r>
        <w:rPr>
          <w:rFonts w:ascii="宋体" w:hAnsi="宋体" w:eastAsia="宋体" w:cs="Times New Roman"/>
          <w:color w:val="auto"/>
          <w:kern w:val="0"/>
          <w:sz w:val="24"/>
          <w:szCs w:val="24"/>
        </w:rPr>
        <w:t>存在串通行为的；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提供虚假资料</w:t>
      </w:r>
      <w:r>
        <w:rPr>
          <w:rFonts w:hint="eastAsia" w:ascii="宋体" w:hAnsi="宋体" w:eastAsia="宋体" w:cs="Times New Roman"/>
          <w:color w:val="auto"/>
          <w:kern w:val="0"/>
          <w:sz w:val="24"/>
          <w:szCs w:val="24"/>
        </w:rPr>
        <w:t>骗取成交</w:t>
      </w:r>
      <w:r>
        <w:rPr>
          <w:rFonts w:ascii="宋体" w:hAnsi="宋体" w:eastAsia="宋体" w:cs="Times New Roman"/>
          <w:color w:val="auto"/>
          <w:kern w:val="0"/>
          <w:sz w:val="24"/>
          <w:szCs w:val="24"/>
        </w:rPr>
        <w:t>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违反采购相关法律法规使自己权益受到损害的其他事项。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书面质疑</w:t>
      </w:r>
      <w:r>
        <w:rPr>
          <w:rFonts w:hint="eastAsia" w:ascii="宋体" w:hAnsi="宋体" w:eastAsia="宋体" w:cs="Times New Roman"/>
          <w:color w:val="auto"/>
          <w:kern w:val="0"/>
          <w:sz w:val="24"/>
          <w:szCs w:val="24"/>
        </w:rPr>
        <w:t>应</w:t>
      </w:r>
      <w:r>
        <w:rPr>
          <w:rFonts w:ascii="宋体" w:hAnsi="宋体" w:eastAsia="宋体" w:cs="Times New Roman"/>
          <w:color w:val="auto"/>
          <w:kern w:val="0"/>
          <w:sz w:val="24"/>
          <w:szCs w:val="24"/>
        </w:rPr>
        <w:t>由法定代表人签字</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加盖单位公章，同时出具法定代表人资格证明书</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由</w:t>
      </w:r>
      <w:r>
        <w:rPr>
          <w:rFonts w:hint="eastAsia" w:ascii="宋体" w:hAnsi="宋体" w:eastAsia="宋体" w:cs="Times New Roman"/>
          <w:color w:val="auto"/>
          <w:kern w:val="0"/>
          <w:sz w:val="24"/>
          <w:szCs w:val="24"/>
        </w:rPr>
        <w:t>全权代表</w:t>
      </w:r>
      <w:r>
        <w:rPr>
          <w:rFonts w:ascii="宋体" w:hAnsi="宋体" w:eastAsia="宋体" w:cs="Times New Roman"/>
          <w:color w:val="auto"/>
          <w:kern w:val="0"/>
          <w:sz w:val="24"/>
          <w:szCs w:val="24"/>
        </w:rPr>
        <w:t>签字的，必须有法定代表人授权</w:t>
      </w:r>
      <w:r>
        <w:rPr>
          <w:rFonts w:hint="eastAsia" w:ascii="宋体" w:hAnsi="宋体" w:eastAsia="宋体" w:cs="Times New Roman"/>
          <w:color w:val="auto"/>
          <w:kern w:val="0"/>
          <w:sz w:val="24"/>
          <w:szCs w:val="24"/>
        </w:rPr>
        <w:t>书和</w:t>
      </w:r>
      <w:r>
        <w:rPr>
          <w:rFonts w:ascii="宋体" w:hAnsi="宋体" w:eastAsia="宋体" w:cs="Times New Roman"/>
          <w:color w:val="auto"/>
          <w:kern w:val="0"/>
          <w:sz w:val="24"/>
          <w:szCs w:val="24"/>
        </w:rPr>
        <w:t>法定代表人资格证明书</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w:t>
      </w:r>
      <w:r>
        <w:rPr>
          <w:rFonts w:hint="eastAsia" w:ascii="宋体" w:hAnsi="宋体" w:eastAsia="宋体" w:cs="Times New Roman"/>
          <w:color w:val="auto"/>
          <w:kern w:val="0"/>
          <w:sz w:val="24"/>
          <w:szCs w:val="24"/>
        </w:rPr>
        <w:t>。书面</w:t>
      </w:r>
      <w:r>
        <w:rPr>
          <w:rFonts w:ascii="宋体" w:hAnsi="宋体" w:eastAsia="宋体" w:cs="Times New Roman"/>
          <w:color w:val="auto"/>
          <w:kern w:val="0"/>
          <w:sz w:val="24"/>
          <w:szCs w:val="24"/>
        </w:rPr>
        <w:t>质疑主要包括下列内容：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1.质疑的采购项目名称和项目编号；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人</w:t>
      </w:r>
      <w:r>
        <w:rPr>
          <w:rFonts w:ascii="宋体" w:hAnsi="宋体" w:eastAsia="宋体" w:cs="Times New Roman"/>
          <w:color w:val="auto"/>
          <w:kern w:val="0"/>
          <w:sz w:val="24"/>
          <w:szCs w:val="24"/>
        </w:rPr>
        <w:t>和被质疑人的名称，质疑人的地址、联系方式等；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具体的质疑事项、事实依据及相关证明材料；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提起质疑的日期。</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ascii="宋体" w:hAnsi="宋体" w:eastAsia="宋体" w:cs="Times New Roman"/>
          <w:color w:val="auto"/>
          <w:kern w:val="0"/>
          <w:sz w:val="24"/>
          <w:szCs w:val="24"/>
        </w:rPr>
        <w:t>质疑有以下情形之一的，</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不予受理：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1.未按规定程序和渠道提出质疑的；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超</w:t>
      </w:r>
      <w:r>
        <w:rPr>
          <w:rFonts w:hint="eastAsia" w:ascii="宋体" w:hAnsi="宋体" w:eastAsia="宋体" w:cs="Times New Roman"/>
          <w:color w:val="auto"/>
          <w:kern w:val="0"/>
          <w:sz w:val="24"/>
          <w:szCs w:val="24"/>
        </w:rPr>
        <w:t>过</w:t>
      </w:r>
      <w:r>
        <w:rPr>
          <w:rFonts w:ascii="宋体" w:hAnsi="宋体" w:eastAsia="宋体" w:cs="Times New Roman"/>
          <w:color w:val="auto"/>
          <w:kern w:val="0"/>
          <w:sz w:val="24"/>
          <w:szCs w:val="24"/>
        </w:rPr>
        <w:t>质疑限期</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3.书面</w:t>
      </w:r>
      <w:r>
        <w:rPr>
          <w:rFonts w:ascii="宋体" w:hAnsi="宋体" w:eastAsia="宋体" w:cs="Times New Roman"/>
          <w:color w:val="auto"/>
          <w:kern w:val="0"/>
          <w:sz w:val="24"/>
          <w:szCs w:val="24"/>
        </w:rPr>
        <w:t>质疑的形式和内容不符合</w:t>
      </w:r>
      <w:r>
        <w:rPr>
          <w:rFonts w:hint="eastAsia" w:ascii="宋体" w:hAnsi="宋体" w:eastAsia="宋体" w:cs="Times New Roman"/>
          <w:color w:val="auto"/>
          <w:kern w:val="0"/>
          <w:sz w:val="24"/>
          <w:szCs w:val="24"/>
        </w:rPr>
        <w:t>上述要求的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提出的质疑事项已经明确答复的；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法律法规规定的其他不予受理的条件。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（八）质疑处理机构</w:t>
      </w:r>
      <w:r>
        <w:rPr>
          <w:rFonts w:ascii="宋体" w:hAnsi="宋体" w:eastAsia="宋体" w:cs="Times New Roman"/>
          <w:color w:val="auto"/>
          <w:kern w:val="0"/>
          <w:sz w:val="24"/>
          <w:szCs w:val="24"/>
        </w:rPr>
        <w:t>应当自质疑签收之日起</w:t>
      </w:r>
      <w:r>
        <w:rPr>
          <w:rFonts w:hint="eastAsia" w:ascii="宋体" w:hAnsi="宋体" w:eastAsia="宋体" w:cs="Times New Roman"/>
          <w:color w:val="auto"/>
          <w:kern w:val="0"/>
          <w:sz w:val="24"/>
          <w:szCs w:val="24"/>
        </w:rPr>
        <w:t>7</w:t>
      </w:r>
      <w:r>
        <w:rPr>
          <w:rFonts w:ascii="宋体" w:hAnsi="宋体" w:eastAsia="宋体" w:cs="Times New Roman"/>
          <w:color w:val="auto"/>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在作出书面答复之前，可以采取现场解答的方式向</w:t>
      </w:r>
      <w:r>
        <w:rPr>
          <w:rFonts w:hint="eastAsia" w:ascii="宋体" w:hAnsi="宋体" w:eastAsia="宋体" w:cs="Times New Roman"/>
          <w:color w:val="auto"/>
          <w:kern w:val="0"/>
          <w:sz w:val="24"/>
          <w:szCs w:val="24"/>
        </w:rPr>
        <w:t>质疑人</w:t>
      </w:r>
      <w:r>
        <w:rPr>
          <w:rFonts w:ascii="宋体" w:hAnsi="宋体" w:eastAsia="宋体" w:cs="Times New Roman"/>
          <w:color w:val="auto"/>
          <w:kern w:val="0"/>
          <w:sz w:val="24"/>
          <w:szCs w:val="24"/>
        </w:rPr>
        <w:t>通报初步处理结果。供应商认可处理结果的，可在出具书面申请后撤回质疑或者放弃质疑，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不再进行书面答复。</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（九）供应商</w:t>
      </w:r>
      <w:r>
        <w:rPr>
          <w:rFonts w:ascii="宋体" w:hAnsi="宋体" w:eastAsia="宋体" w:cs="Times New Roman"/>
          <w:color w:val="auto"/>
          <w:kern w:val="0"/>
          <w:sz w:val="24"/>
          <w:szCs w:val="24"/>
        </w:rPr>
        <w:t>质疑有下列情形之一的，视为无效质疑，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应当驳回质疑：</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ascii="宋体" w:hAnsi="宋体" w:eastAsia="宋体" w:cs="Times New Roman"/>
          <w:color w:val="auto"/>
          <w:kern w:val="0"/>
          <w:sz w:val="24"/>
          <w:szCs w:val="24"/>
        </w:rPr>
        <w:t>无具体的质疑事项，或者质疑事项缺乏事实和法律依据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质疑内容涉及评审工作细节、其他供应商</w:t>
      </w:r>
      <w:r>
        <w:rPr>
          <w:rFonts w:hint="eastAsia" w:ascii="宋体" w:hAnsi="宋体" w:eastAsia="宋体" w:cs="Times New Roman"/>
          <w:color w:val="auto"/>
          <w:kern w:val="0"/>
          <w:sz w:val="24"/>
          <w:szCs w:val="24"/>
        </w:rPr>
        <w:t>报价</w:t>
      </w:r>
      <w:r>
        <w:rPr>
          <w:rFonts w:ascii="宋体" w:hAnsi="宋体" w:eastAsia="宋体" w:cs="Times New Roman"/>
          <w:color w:val="auto"/>
          <w:kern w:val="0"/>
          <w:sz w:val="24"/>
          <w:szCs w:val="24"/>
        </w:rPr>
        <w:t>资料等保密事项且无法提供信息的合法来源</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质疑已经处理并明确答复后，质疑人就同一事项再次提起质疑且未提供新的有效证据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应当对供应商无效质疑情况记录存档</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（十）供应商</w:t>
      </w:r>
      <w:r>
        <w:rPr>
          <w:rFonts w:ascii="宋体" w:hAnsi="宋体" w:eastAsia="宋体" w:cs="Times New Roman"/>
          <w:color w:val="auto"/>
          <w:kern w:val="0"/>
          <w:sz w:val="24"/>
          <w:szCs w:val="24"/>
        </w:rPr>
        <w:t>进行虚假和恶意质疑，干扰</w:t>
      </w:r>
      <w:r>
        <w:rPr>
          <w:rFonts w:hint="eastAsia" w:ascii="宋体" w:hAnsi="宋体" w:eastAsia="宋体" w:cs="Times New Roman"/>
          <w:color w:val="auto"/>
          <w:kern w:val="0"/>
          <w:sz w:val="24"/>
          <w:szCs w:val="24"/>
        </w:rPr>
        <w:t>军队</w:t>
      </w:r>
      <w:r>
        <w:rPr>
          <w:rFonts w:ascii="宋体" w:hAnsi="宋体" w:eastAsia="宋体" w:cs="Times New Roman"/>
          <w:color w:val="auto"/>
          <w:kern w:val="0"/>
          <w:sz w:val="24"/>
          <w:szCs w:val="24"/>
        </w:rPr>
        <w:t>采购活动的，</w:t>
      </w:r>
      <w:r>
        <w:rPr>
          <w:rFonts w:hint="eastAsia" w:ascii="宋体" w:hAnsi="宋体" w:eastAsia="宋体" w:cs="Times New Roman"/>
          <w:color w:val="auto"/>
          <w:kern w:val="0"/>
          <w:sz w:val="24"/>
          <w:szCs w:val="24"/>
        </w:rPr>
        <w:t>质疑处理机构可以申请上级采购管理部门作出处罚。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（十一）</w:t>
      </w:r>
      <w:r>
        <w:rPr>
          <w:rFonts w:cs="Times New Roman" w:asciiTheme="minorEastAsia" w:hAnsiTheme="minorEastAsia"/>
          <w:color w:val="auto"/>
          <w:kern w:val="0"/>
          <w:sz w:val="24"/>
          <w:szCs w:val="24"/>
        </w:rPr>
        <w:t>对</w:t>
      </w:r>
      <w:r>
        <w:rPr>
          <w:rFonts w:hint="eastAsia" w:cs="Times New Roman" w:asciiTheme="minorEastAsia" w:hAnsiTheme="minorEastAsia"/>
          <w:color w:val="auto"/>
          <w:kern w:val="0"/>
          <w:sz w:val="24"/>
          <w:szCs w:val="24"/>
        </w:rPr>
        <w:t>物资采购中心</w:t>
      </w:r>
      <w:r>
        <w:rPr>
          <w:rFonts w:cs="Times New Roman" w:asciiTheme="minorEastAsia" w:hAnsiTheme="minorEastAsia"/>
          <w:color w:val="auto"/>
          <w:kern w:val="0"/>
          <w:sz w:val="24"/>
          <w:szCs w:val="24"/>
        </w:rPr>
        <w:t>的书面答复及处理结果不满意，</w:t>
      </w:r>
      <w:r>
        <w:rPr>
          <w:rFonts w:hint="eastAsia" w:cs="Times New Roman" w:asciiTheme="minorEastAsia" w:hAnsiTheme="minorEastAsia"/>
          <w:color w:val="auto"/>
          <w:kern w:val="0"/>
          <w:sz w:val="24"/>
          <w:szCs w:val="24"/>
        </w:rPr>
        <w:t>或者质疑处理机构未答复以及未在规定期限内作出答复的，</w:t>
      </w:r>
      <w:r>
        <w:rPr>
          <w:rFonts w:cs="Times New Roman" w:asciiTheme="minorEastAsia" w:hAnsiTheme="minorEastAsia"/>
          <w:color w:val="auto"/>
          <w:kern w:val="0"/>
          <w:sz w:val="24"/>
          <w:szCs w:val="24"/>
        </w:rPr>
        <w:t>质疑人可以在</w:t>
      </w:r>
      <w:r>
        <w:rPr>
          <w:rFonts w:hint="eastAsia" w:cs="Times New Roman" w:asciiTheme="minorEastAsia" w:hAnsiTheme="minorEastAsia"/>
          <w:color w:val="auto"/>
          <w:kern w:val="0"/>
          <w:sz w:val="24"/>
          <w:szCs w:val="24"/>
        </w:rPr>
        <w:t>质疑</w:t>
      </w:r>
      <w:r>
        <w:rPr>
          <w:rFonts w:cs="Times New Roman" w:asciiTheme="minorEastAsia" w:hAnsiTheme="minorEastAsia"/>
          <w:color w:val="auto"/>
          <w:kern w:val="0"/>
          <w:sz w:val="24"/>
          <w:szCs w:val="24"/>
        </w:rPr>
        <w:t>答复</w:t>
      </w:r>
      <w:r>
        <w:rPr>
          <w:rFonts w:hint="eastAsia" w:cs="Times New Roman" w:asciiTheme="minorEastAsia" w:hAnsiTheme="minorEastAsia"/>
          <w:color w:val="auto"/>
          <w:kern w:val="0"/>
          <w:sz w:val="24"/>
          <w:szCs w:val="24"/>
        </w:rPr>
        <w:t>期满</w:t>
      </w:r>
      <w:r>
        <w:rPr>
          <w:rFonts w:cs="Times New Roman" w:asciiTheme="minorEastAsia" w:hAnsiTheme="minorEastAsia"/>
          <w:color w:val="auto"/>
          <w:kern w:val="0"/>
          <w:sz w:val="24"/>
          <w:szCs w:val="24"/>
        </w:rPr>
        <w:t>之日起</w:t>
      </w:r>
      <w:r>
        <w:rPr>
          <w:rFonts w:hint="eastAsia" w:cs="Times New Roman" w:asciiTheme="minorEastAsia" w:hAnsiTheme="minorEastAsia"/>
          <w:color w:val="auto"/>
          <w:kern w:val="0"/>
          <w:sz w:val="24"/>
          <w:szCs w:val="24"/>
        </w:rPr>
        <w:t>15</w:t>
      </w:r>
      <w:r>
        <w:rPr>
          <w:rFonts w:cs="Times New Roman" w:asciiTheme="minorEastAsia" w:hAnsiTheme="minorEastAsia"/>
          <w:color w:val="auto"/>
          <w:kern w:val="0"/>
          <w:sz w:val="24"/>
          <w:szCs w:val="24"/>
        </w:rPr>
        <w:t>个工作日内，向</w:t>
      </w:r>
      <w:r>
        <w:rPr>
          <w:rFonts w:hint="eastAsia" w:cs="Times New Roman" w:asciiTheme="minorEastAsia" w:hAnsiTheme="minorEastAsia"/>
          <w:color w:val="auto"/>
          <w:kern w:val="0"/>
          <w:sz w:val="24"/>
          <w:szCs w:val="24"/>
        </w:rPr>
        <w:t>我院采购领导小组办公室</w:t>
      </w:r>
      <w:r>
        <w:rPr>
          <w:rFonts w:cs="Times New Roman" w:asciiTheme="minorEastAsia" w:hAnsiTheme="minorEastAsia"/>
          <w:color w:val="auto"/>
          <w:kern w:val="0"/>
          <w:sz w:val="24"/>
          <w:szCs w:val="24"/>
        </w:rPr>
        <w:t>提出投诉</w:t>
      </w:r>
      <w:r>
        <w:rPr>
          <w:rFonts w:ascii="宋体" w:hAnsi="宋体" w:eastAsia="宋体" w:cs="Times New Roman"/>
          <w:color w:val="auto"/>
          <w:kern w:val="0"/>
          <w:sz w:val="24"/>
          <w:szCs w:val="24"/>
        </w:rPr>
        <w:t>。</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七、确定成交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（一）确定成交供应商</w:t>
      </w:r>
    </w:p>
    <w:p>
      <w:pPr>
        <w:spacing w:line="440" w:lineRule="exact"/>
        <w:ind w:firstLine="462" w:firstLineChars="200"/>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1.评审结束后3个工作日内，采购机构根据评审委员会提出的书面评审报告，在</w:t>
      </w:r>
      <w:r>
        <w:rPr>
          <w:rFonts w:hint="eastAsia" w:cs="Times New Roman" w:asciiTheme="majorEastAsia" w:hAnsiTheme="majorEastAsia" w:eastAsiaTheme="majorEastAsia"/>
          <w:color w:val="auto"/>
          <w:kern w:val="0"/>
          <w:sz w:val="24"/>
          <w:szCs w:val="24"/>
        </w:rPr>
        <w:t>网</w:t>
      </w:r>
      <w:r>
        <w:rPr>
          <w:rFonts w:hint="eastAsia" w:cs="Times New Roman" w:asciiTheme="minorEastAsia" w:hAnsiTheme="minorEastAsia"/>
          <w:color w:val="auto"/>
          <w:kern w:val="0"/>
          <w:sz w:val="24"/>
          <w:szCs w:val="24"/>
        </w:rPr>
        <w:t>上公示评审结果</w:t>
      </w:r>
      <w:r>
        <w:rPr>
          <w:rFonts w:hint="eastAsia" w:ascii="宋体" w:hAnsi="宋体" w:eastAsia="宋体" w:cs="宋体"/>
          <w:snapToGrid w:val="0"/>
          <w:color w:val="auto"/>
          <w:kern w:val="0"/>
          <w:sz w:val="24"/>
          <w:szCs w:val="24"/>
        </w:rPr>
        <w:t>，公示期为3个工作日。在公示期内无异议的，</w:t>
      </w:r>
      <w:r>
        <w:rPr>
          <w:rFonts w:hint="eastAsia" w:cs="Times New Roman" w:asciiTheme="minorEastAsia" w:hAnsiTheme="minorEastAsia"/>
          <w:color w:val="auto"/>
          <w:kern w:val="0"/>
          <w:sz w:val="24"/>
          <w:szCs w:val="24"/>
        </w:rPr>
        <w:t>且通过医院价格审核，</w:t>
      </w:r>
      <w:r>
        <w:rPr>
          <w:rFonts w:hint="eastAsia" w:ascii="宋体" w:hAnsi="宋体" w:eastAsia="宋体" w:cs="宋体"/>
          <w:snapToGrid w:val="0"/>
          <w:color w:val="auto"/>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（二）</w:t>
      </w:r>
      <w:r>
        <w:rPr>
          <w:rFonts w:hint="eastAsia" w:ascii="宋体" w:hAnsi="宋体" w:eastAsia="宋体" w:cs="Times New Roman"/>
          <w:snapToGrid w:val="0"/>
          <w:color w:val="auto"/>
          <w:kern w:val="0"/>
          <w:sz w:val="24"/>
          <w:szCs w:val="24"/>
        </w:rPr>
        <w:t>成交通知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《成交通知书》是签订合同草案的依据。若合同草案未获批准，采购机构有权取消合同草案。</w:t>
      </w:r>
      <w:r>
        <w:rPr>
          <w:rFonts w:hint="eastAsia" w:ascii="宋体" w:hAnsi="宋体" w:eastAsia="宋体" w:cs="宋体"/>
          <w:snapToGrid w:val="0"/>
          <w:color w:val="auto"/>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八、签订</w:t>
      </w:r>
      <w:r>
        <w:rPr>
          <w:rFonts w:ascii="宋体" w:hAnsi="宋体" w:eastAsia="宋体" w:cs="Times New Roman"/>
          <w:color w:val="auto"/>
          <w:kern w:val="0"/>
          <w:sz w:val="24"/>
          <w:szCs w:val="24"/>
        </w:rPr>
        <w:t>合同</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（四）</w:t>
      </w:r>
      <w:r>
        <w:rPr>
          <w:rFonts w:hint="eastAsia" w:cs="Times New Roman" w:asciiTheme="minorEastAsia" w:hAnsiTheme="minorEastAsia"/>
          <w:color w:val="auto"/>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w:t>
      </w:r>
      <w:r>
        <w:rPr>
          <w:rFonts w:ascii="宋体" w:hAnsi="宋体" w:eastAsia="宋体" w:cs="Times New Roman"/>
          <w:color w:val="auto"/>
          <w:kern w:val="0"/>
          <w:sz w:val="24"/>
          <w:szCs w:val="24"/>
        </w:rPr>
        <w:t>产品</w:t>
      </w:r>
      <w:r>
        <w:rPr>
          <w:rFonts w:hint="eastAsia" w:ascii="宋体" w:hAnsi="宋体" w:eastAsia="宋体" w:cs="Times New Roman"/>
          <w:color w:val="auto"/>
          <w:kern w:val="0"/>
          <w:sz w:val="24"/>
          <w:szCs w:val="24"/>
        </w:rPr>
        <w:t>质量</w:t>
      </w:r>
      <w:r>
        <w:rPr>
          <w:rFonts w:ascii="宋体" w:hAnsi="宋体" w:eastAsia="宋体" w:cs="Times New Roman"/>
          <w:color w:val="auto"/>
          <w:kern w:val="0"/>
          <w:sz w:val="24"/>
          <w:szCs w:val="24"/>
        </w:rPr>
        <w:t>检验验收</w:t>
      </w:r>
    </w:p>
    <w:p>
      <w:pPr>
        <w:spacing w:line="440" w:lineRule="exact"/>
        <w:ind w:firstLine="462" w:firstLineChars="200"/>
        <w:rPr>
          <w:rFonts w:ascii="宋体" w:hAnsi="宋体" w:eastAsia="宋体" w:cs="宋体"/>
          <w:snapToGrid w:val="0"/>
          <w:color w:val="auto"/>
          <w:kern w:val="0"/>
          <w:sz w:val="24"/>
          <w:szCs w:val="24"/>
          <w:lang w:val="zh-CN"/>
        </w:rPr>
      </w:pP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（二）验收方式</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2.产品</w:t>
      </w:r>
      <w:r>
        <w:rPr>
          <w:rFonts w:hint="eastAsia" w:ascii="宋体" w:hAnsi="宋体" w:eastAsia="宋体" w:cs="Times New Roman"/>
          <w:color w:val="auto"/>
          <w:kern w:val="0"/>
          <w:sz w:val="24"/>
          <w:szCs w:val="24"/>
        </w:rPr>
        <w:t>安装、调试并正常使用后</w:t>
      </w:r>
      <w:r>
        <w:rPr>
          <w:rFonts w:hint="eastAsia" w:cs="Times New Roman" w:asciiTheme="minorEastAsia" w:hAnsiTheme="minorEastAsia"/>
          <w:color w:val="auto"/>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.验收依据：</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1）</w:t>
      </w:r>
      <w:r>
        <w:rPr>
          <w:rFonts w:hint="eastAsia" w:ascii="宋体" w:hAnsi="宋体" w:eastAsia="宋体" w:cs="Times New Roman"/>
          <w:color w:val="auto"/>
          <w:kern w:val="0"/>
          <w:sz w:val="24"/>
          <w:szCs w:val="24"/>
        </w:rPr>
        <w:t>谈判文件、报价文件</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2）</w:t>
      </w:r>
      <w:r>
        <w:rPr>
          <w:rFonts w:hint="eastAsia" w:ascii="宋体" w:hAnsi="宋体" w:eastAsia="宋体" w:cs="Times New Roman"/>
          <w:color w:val="auto"/>
          <w:kern w:val="0"/>
          <w:sz w:val="24"/>
          <w:szCs w:val="24"/>
        </w:rPr>
        <w:t>采购合同及附件文本</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国家、行业的相应标准、规范</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w:t>
      </w:r>
      <w:r>
        <w:rPr>
          <w:rFonts w:ascii="宋体" w:hAnsi="宋体" w:eastAsia="宋体" w:cs="Times New Roman"/>
          <w:color w:val="auto"/>
          <w:kern w:val="0"/>
          <w:sz w:val="24"/>
          <w:szCs w:val="24"/>
        </w:rPr>
        <w:t>解释权限</w:t>
      </w:r>
    </w:p>
    <w:p>
      <w:pPr>
        <w:spacing w:line="440" w:lineRule="exact"/>
        <w:ind w:firstLine="462" w:firstLineChars="200"/>
        <w:rPr>
          <w:rFonts w:ascii="宋体" w:hAnsi="宋体" w:eastAsia="宋体" w:cs="Times New Roman"/>
          <w:color w:val="auto"/>
          <w:kern w:val="0"/>
          <w:sz w:val="24"/>
          <w:szCs w:val="24"/>
        </w:rPr>
      </w:pPr>
    </w:p>
    <w:p>
      <w:pPr>
        <w:spacing w:line="440" w:lineRule="exact"/>
        <w:ind w:firstLine="462" w:firstLineChars="200"/>
        <w:rPr>
          <w:rFonts w:ascii="仿宋_GB2312" w:hAnsi="宋体" w:eastAsia="仿宋_GB2312" w:cs="Times New Roman"/>
          <w:color w:val="auto"/>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color w:val="auto"/>
          <w:kern w:val="0"/>
          <w:sz w:val="24"/>
          <w:szCs w:val="24"/>
        </w:rPr>
        <w:t>本谈判文件由采购机构负责解释。</w:t>
      </w:r>
    </w:p>
    <w:p>
      <w:pPr>
        <w:jc w:val="center"/>
        <w:outlineLvl w:val="0"/>
        <w:rPr>
          <w:rFonts w:ascii="黑体" w:hAnsi="黑体" w:eastAsia="黑体" w:cs="Times New Roman"/>
          <w:bCs/>
          <w:color w:val="auto"/>
          <w:kern w:val="0"/>
          <w:sz w:val="32"/>
          <w:szCs w:val="32"/>
        </w:rPr>
      </w:pPr>
      <w:bookmarkStart w:id="14" w:name="_Toc390713969"/>
      <w:bookmarkStart w:id="15" w:name="_Toc285612603"/>
      <w:bookmarkStart w:id="16" w:name="_Toc435540981"/>
      <w:bookmarkStart w:id="17" w:name="_Toc37780286"/>
      <w:bookmarkStart w:id="18" w:name="_Toc37172690"/>
      <w:r>
        <w:rPr>
          <w:rFonts w:hint="eastAsia" w:ascii="黑体" w:hAnsi="黑体" w:eastAsia="黑体" w:cs="Times New Roman"/>
          <w:bCs/>
          <w:color w:val="auto"/>
          <w:kern w:val="0"/>
          <w:sz w:val="32"/>
          <w:szCs w:val="32"/>
        </w:rPr>
        <w:t>第四部分</w:t>
      </w:r>
      <w:r>
        <w:rPr>
          <w:rFonts w:ascii="黑体" w:hAnsi="黑体" w:eastAsia="黑体" w:cs="Times New Roman"/>
          <w:bCs/>
          <w:color w:val="auto"/>
          <w:kern w:val="0"/>
          <w:sz w:val="32"/>
          <w:szCs w:val="32"/>
        </w:rPr>
        <w:t xml:space="preserve">  </w:t>
      </w:r>
      <w:r>
        <w:rPr>
          <w:rFonts w:hint="eastAsia" w:ascii="黑体" w:hAnsi="黑体" w:eastAsia="黑体" w:cs="Times New Roman"/>
          <w:bCs/>
          <w:color w:val="auto"/>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color w:val="auto"/>
          <w:sz w:val="32"/>
          <w:szCs w:val="32"/>
        </w:rPr>
      </w:pPr>
      <w:r>
        <w:rPr>
          <w:rFonts w:ascii="Times New Roman" w:hAnsi="Times New Roman" w:eastAsia="华文中宋" w:cs="Times New Roman"/>
          <w:b/>
          <w:bCs/>
          <w:color w:val="auto"/>
          <w:sz w:val="48"/>
        </w:rPr>
        <w:t xml:space="preserve"> </w:t>
      </w:r>
      <w:r>
        <w:rPr>
          <w:rFonts w:ascii="黑体" w:hAnsi="黑体" w:eastAsia="黑体" w:cs="Times New Roman"/>
          <w:b/>
          <w:bCs/>
          <w:color w:val="auto"/>
          <w:sz w:val="32"/>
          <w:szCs w:val="32"/>
        </w:rPr>
        <w:t xml:space="preserve"> </w:t>
      </w:r>
      <w:r>
        <w:rPr>
          <w:rFonts w:ascii="黑体" w:hAnsi="黑体" w:eastAsia="黑体" w:cs="Times New Roman"/>
          <w:b/>
          <w:bCs/>
          <w:color w:val="auto"/>
          <w:sz w:val="32"/>
          <w:szCs w:val="32"/>
          <w:u w:val="single"/>
        </w:rPr>
        <w:t xml:space="preserve">              </w:t>
      </w:r>
      <w:r>
        <w:rPr>
          <w:rFonts w:hint="eastAsia" w:ascii="黑体" w:hAnsi="黑体" w:eastAsia="黑体" w:cs="Times New Roman"/>
          <w:bCs/>
          <w:color w:val="auto"/>
          <w:sz w:val="32"/>
          <w:szCs w:val="32"/>
        </w:rPr>
        <w:t>采</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购</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合</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同</w:t>
      </w:r>
      <w:r>
        <w:rPr>
          <w:rFonts w:ascii="Times New Roman" w:hAnsi="Times New Roman" w:eastAsia="方正小标宋简体" w:cs="Times New Roman"/>
          <w:bCs/>
          <w:color w:val="auto"/>
          <w:sz w:val="48"/>
        </w:rPr>
        <w:t xml:space="preserve">             </w:t>
      </w:r>
      <w:r>
        <w:rPr>
          <w:rFonts w:hint="eastAsia" w:ascii="黑体" w:hAnsi="黑体" w:eastAsia="黑体" w:cs="Times New Roman"/>
          <w:bCs/>
          <w:color w:val="auto"/>
          <w:sz w:val="32"/>
          <w:szCs w:val="32"/>
        </w:rPr>
        <w:t xml:space="preserve"> </w:t>
      </w:r>
    </w:p>
    <w:p>
      <w:pPr>
        <w:adjustRightInd w:val="0"/>
        <w:snapToGrid w:val="0"/>
        <w:jc w:val="center"/>
        <w:rPr>
          <w:rFonts w:ascii="Times New Roman" w:hAnsi="Times New Roman" w:eastAsia="方正小标宋简体" w:cs="Times New Roman"/>
          <w:bCs/>
          <w:color w:val="auto"/>
          <w:sz w:val="48"/>
        </w:rPr>
      </w:pPr>
    </w:p>
    <w:p>
      <w:pPr>
        <w:adjustRightInd w:val="0"/>
        <w:snapToGrid w:val="0"/>
        <w:rPr>
          <w:rFonts w:ascii="Times New Roman" w:hAnsi="Times New Roman" w:eastAsia="华文中宋" w:cs="Times New Roman"/>
          <w:bCs/>
          <w:color w:val="auto"/>
          <w:szCs w:val="21"/>
        </w:rPr>
      </w:pPr>
      <w:r>
        <w:rPr>
          <w:rFonts w:hint="eastAsia" w:ascii="Times New Roman" w:hAnsi="Times New Roman" w:eastAsia="宋体" w:cs="Times New Roman"/>
          <w:bCs/>
          <w:color w:val="auto"/>
        </w:rPr>
        <w:t>签订地点：重庆市</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签订日期</w:t>
      </w:r>
      <w:r>
        <w:rPr>
          <w:rFonts w:hint="eastAsia" w:ascii="Times New Roman" w:hAnsi="Times New Roman" w:eastAsia="宋体" w:cs="Times New Roman"/>
          <w:color w:val="auto"/>
        </w:rPr>
        <w:t>：</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年</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月</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日</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合同编号</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t>
      </w:r>
    </w:p>
    <w:tbl>
      <w:tblPr>
        <w:tblStyle w:val="20"/>
        <w:tblW w:w="498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1"/>
        <w:gridCol w:w="645"/>
        <w:gridCol w:w="159"/>
        <w:gridCol w:w="1253"/>
        <w:gridCol w:w="1542"/>
        <w:gridCol w:w="3201"/>
        <w:gridCol w:w="333"/>
        <w:gridCol w:w="699"/>
        <w:gridCol w:w="448"/>
        <w:gridCol w:w="534"/>
        <w:gridCol w:w="1545"/>
        <w:gridCol w:w="1542"/>
        <w:gridCol w:w="1686"/>
        <w:gridCol w:w="5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2501"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甲　　方</w:t>
            </w:r>
          </w:p>
        </w:tc>
        <w:tc>
          <w:tcPr>
            <w:tcW w:w="2498"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55"/>
                <w:kern w:val="0"/>
                <w:szCs w:val="21"/>
                <w:fitText w:val="1170" w:id="1101430779"/>
              </w:rPr>
              <w:t>单位名</w:t>
            </w:r>
            <w:r>
              <w:rPr>
                <w:rFonts w:hint="eastAsia" w:ascii="宋体" w:hAnsi="宋体" w:eastAsia="宋体" w:cs="Times New Roman"/>
                <w:bCs/>
                <w:color w:val="auto"/>
                <w:spacing w:val="0"/>
                <w:kern w:val="0"/>
                <w:szCs w:val="21"/>
                <w:fitText w:val="1170" w:id="1101430779"/>
              </w:rPr>
              <w:t>称</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pacing w:val="20"/>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
              </w:rPr>
              <w:t>单位名</w:t>
            </w:r>
            <w:r>
              <w:rPr>
                <w:rFonts w:hint="eastAsia" w:ascii="宋体" w:hAnsi="宋体" w:eastAsia="宋体" w:cs="Times New Roman"/>
                <w:bCs/>
                <w:color w:val="auto"/>
                <w:spacing w:val="0"/>
                <w:kern w:val="0"/>
                <w:szCs w:val="21"/>
                <w:fitText w:val="1170" w:id="1"/>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2"/>
              </w:rPr>
              <w:t>法定代表</w:t>
            </w:r>
            <w:r>
              <w:rPr>
                <w:rFonts w:hint="eastAsia" w:ascii="宋体" w:hAnsi="宋体" w:eastAsia="宋体" w:cs="Times New Roman"/>
                <w:bCs/>
                <w:color w:val="auto"/>
                <w:spacing w:val="0"/>
                <w:kern w:val="0"/>
                <w:szCs w:val="21"/>
                <w:fitText w:val="1170" w:id="2"/>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3"/>
              </w:rPr>
              <w:t>法定代表</w:t>
            </w:r>
            <w:r>
              <w:rPr>
                <w:rFonts w:hint="eastAsia" w:ascii="宋体" w:hAnsi="宋体" w:eastAsia="宋体" w:cs="Times New Roman"/>
                <w:bCs/>
                <w:color w:val="auto"/>
                <w:spacing w:val="0"/>
                <w:kern w:val="0"/>
                <w:szCs w:val="21"/>
                <w:fitText w:val="1170" w:id="3"/>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4"/>
              </w:rPr>
              <w:t>委托代理</w:t>
            </w:r>
            <w:r>
              <w:rPr>
                <w:rFonts w:hint="eastAsia" w:ascii="宋体" w:hAnsi="宋体" w:eastAsia="宋体" w:cs="Times New Roman"/>
                <w:bCs/>
                <w:color w:val="auto"/>
                <w:spacing w:val="0"/>
                <w:kern w:val="0"/>
                <w:szCs w:val="21"/>
                <w:fitText w:val="1170" w:id="4"/>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5"/>
              </w:rPr>
              <w:t>委托代理</w:t>
            </w:r>
            <w:r>
              <w:rPr>
                <w:rFonts w:hint="eastAsia" w:ascii="宋体" w:hAnsi="宋体" w:eastAsia="宋体" w:cs="Times New Roman"/>
                <w:bCs/>
                <w:color w:val="auto"/>
                <w:spacing w:val="0"/>
                <w:kern w:val="0"/>
                <w:szCs w:val="21"/>
                <w:fitText w:val="1170" w:id="5"/>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35"/>
                <w:kern w:val="0"/>
                <w:szCs w:val="21"/>
                <w:fitText w:val="1170" w:id="6"/>
              </w:rPr>
              <w:t>联系</w:t>
            </w:r>
            <w:r>
              <w:rPr>
                <w:rFonts w:hint="eastAsia" w:ascii="宋体" w:hAnsi="宋体" w:eastAsia="宋体" w:cs="Times New Roman"/>
                <w:bCs/>
                <w:color w:val="auto"/>
                <w:spacing w:val="0"/>
                <w:kern w:val="0"/>
                <w:szCs w:val="21"/>
                <w:fitText w:val="1170" w:id="6"/>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35"/>
                <w:kern w:val="0"/>
                <w:szCs w:val="21"/>
                <w:fitText w:val="1170" w:id="7"/>
              </w:rPr>
              <w:t>联系</w:t>
            </w:r>
            <w:r>
              <w:rPr>
                <w:rFonts w:hint="eastAsia" w:ascii="宋体" w:hAnsi="宋体" w:eastAsia="宋体" w:cs="Times New Roman"/>
                <w:bCs/>
                <w:color w:val="auto"/>
                <w:spacing w:val="0"/>
                <w:kern w:val="0"/>
                <w:szCs w:val="21"/>
                <w:fitText w:val="1170" w:id="7"/>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8"/>
              </w:rPr>
              <w:t>联系电</w:t>
            </w:r>
            <w:r>
              <w:rPr>
                <w:rFonts w:hint="eastAsia" w:ascii="宋体" w:hAnsi="宋体" w:eastAsia="宋体" w:cs="Times New Roman"/>
                <w:bCs/>
                <w:color w:val="auto"/>
                <w:spacing w:val="0"/>
                <w:kern w:val="0"/>
                <w:szCs w:val="21"/>
                <w:fitText w:val="1170" w:id="8"/>
              </w:rPr>
              <w:t>话</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9"/>
              </w:rPr>
              <w:t>联系电</w:t>
            </w:r>
            <w:r>
              <w:rPr>
                <w:rFonts w:hint="eastAsia" w:ascii="宋体" w:hAnsi="宋体" w:eastAsia="宋体" w:cs="Times New Roman"/>
                <w:bCs/>
                <w:color w:val="auto"/>
                <w:spacing w:val="0"/>
                <w:kern w:val="0"/>
                <w:szCs w:val="21"/>
                <w:fitText w:val="1170" w:id="9"/>
              </w:rPr>
              <w:t>话</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0"/>
              </w:rPr>
              <w:t>通讯地</w:t>
            </w:r>
            <w:r>
              <w:rPr>
                <w:rFonts w:hint="eastAsia" w:ascii="宋体" w:hAnsi="宋体" w:eastAsia="宋体" w:cs="Times New Roman"/>
                <w:bCs/>
                <w:color w:val="auto"/>
                <w:spacing w:val="0"/>
                <w:kern w:val="0"/>
                <w:szCs w:val="21"/>
                <w:fitText w:val="1170" w:id="10"/>
              </w:rPr>
              <w:t>址</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1"/>
              </w:rPr>
              <w:t>通讯地</w:t>
            </w:r>
            <w:r>
              <w:rPr>
                <w:rFonts w:hint="eastAsia" w:ascii="宋体" w:hAnsi="宋体" w:eastAsia="宋体" w:cs="Times New Roman"/>
                <w:bCs/>
                <w:color w:val="auto"/>
                <w:spacing w:val="0"/>
                <w:kern w:val="0"/>
                <w:szCs w:val="21"/>
                <w:fitText w:val="1170" w:id="11"/>
              </w:rPr>
              <w:t>址</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2"/>
              </w:rPr>
              <w:t>邮政编</w:t>
            </w:r>
            <w:r>
              <w:rPr>
                <w:rFonts w:hint="eastAsia" w:ascii="宋体" w:hAnsi="宋体" w:eastAsia="宋体" w:cs="Times New Roman"/>
                <w:bCs/>
                <w:color w:val="auto"/>
                <w:spacing w:val="0"/>
                <w:kern w:val="0"/>
                <w:szCs w:val="21"/>
                <w:fitText w:val="1170" w:id="12"/>
              </w:rPr>
              <w:t>码</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3"/>
              </w:rPr>
              <w:t>邮政编</w:t>
            </w:r>
            <w:r>
              <w:rPr>
                <w:rFonts w:hint="eastAsia" w:ascii="宋体" w:hAnsi="宋体" w:eastAsia="宋体" w:cs="Times New Roman"/>
                <w:bCs/>
                <w:color w:val="auto"/>
                <w:spacing w:val="0"/>
                <w:kern w:val="0"/>
                <w:szCs w:val="21"/>
                <w:fitText w:val="1170" w:id="13"/>
              </w:rPr>
              <w:t>码</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4"/>
              </w:rPr>
              <w:t>付款单</w:t>
            </w:r>
            <w:r>
              <w:rPr>
                <w:rFonts w:hint="eastAsia" w:ascii="宋体" w:hAnsi="宋体" w:eastAsia="宋体" w:cs="Times New Roman"/>
                <w:bCs/>
                <w:color w:val="auto"/>
                <w:spacing w:val="0"/>
                <w:kern w:val="0"/>
                <w:szCs w:val="21"/>
                <w:fitText w:val="1170" w:id="14"/>
              </w:rPr>
              <w:t>位</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5"/>
              </w:rPr>
              <w:t>开户名</w:t>
            </w:r>
            <w:r>
              <w:rPr>
                <w:rFonts w:hint="eastAsia" w:ascii="宋体" w:hAnsi="宋体" w:eastAsia="宋体" w:cs="Times New Roman"/>
                <w:bCs/>
                <w:color w:val="auto"/>
                <w:spacing w:val="0"/>
                <w:kern w:val="0"/>
                <w:szCs w:val="21"/>
                <w:fitText w:val="1170" w:id="15"/>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6"/>
              </w:rPr>
              <w:t>开户银</w:t>
            </w:r>
            <w:r>
              <w:rPr>
                <w:rFonts w:hint="eastAsia" w:ascii="宋体" w:hAnsi="宋体" w:eastAsia="宋体" w:cs="Times New Roman"/>
                <w:bCs/>
                <w:color w:val="auto"/>
                <w:spacing w:val="0"/>
                <w:kern w:val="0"/>
                <w:szCs w:val="21"/>
                <w:fitText w:val="1170" w:id="16"/>
              </w:rPr>
              <w:t>行</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7"/>
              </w:rPr>
              <w:t>开户银</w:t>
            </w:r>
            <w:r>
              <w:rPr>
                <w:rFonts w:hint="eastAsia" w:ascii="宋体" w:hAnsi="宋体" w:eastAsia="宋体" w:cs="Times New Roman"/>
                <w:bCs/>
                <w:color w:val="auto"/>
                <w:spacing w:val="0"/>
                <w:kern w:val="0"/>
                <w:szCs w:val="21"/>
                <w:fitText w:val="1170" w:id="17"/>
              </w:rPr>
              <w:t>行</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8"/>
              </w:rPr>
              <w:t>银行账</w:t>
            </w:r>
            <w:r>
              <w:rPr>
                <w:rFonts w:hint="eastAsia" w:ascii="宋体" w:hAnsi="宋体" w:eastAsia="宋体" w:cs="Times New Roman"/>
                <w:bCs/>
                <w:color w:val="auto"/>
                <w:spacing w:val="0"/>
                <w:kern w:val="0"/>
                <w:szCs w:val="21"/>
                <w:fitText w:val="1170" w:id="18"/>
              </w:rPr>
              <w:t>号</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9"/>
              </w:rPr>
              <w:t>银行账</w:t>
            </w:r>
            <w:r>
              <w:rPr>
                <w:rFonts w:hint="eastAsia" w:ascii="宋体" w:hAnsi="宋体" w:eastAsia="宋体" w:cs="Times New Roman"/>
                <w:bCs/>
                <w:color w:val="auto"/>
                <w:spacing w:val="0"/>
                <w:kern w:val="0"/>
                <w:szCs w:val="21"/>
                <w:fitText w:val="1170" w:id="19"/>
              </w:rPr>
              <w:t>号</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5" w:hRule="exact"/>
          <w:jc w:val="center"/>
        </w:trPr>
        <w:tc>
          <w:tcPr>
            <w:tcW w:w="5000" w:type="pct"/>
            <w:gridSpan w:val="14"/>
            <w:tcBorders>
              <w:top w:val="single" w:color="auto" w:sz="2" w:space="0"/>
              <w:left w:val="single" w:color="auto" w:sz="12" w:space="0"/>
              <w:bottom w:val="single" w:color="auto" w:sz="4" w:space="0"/>
              <w:right w:val="single" w:color="auto" w:sz="12" w:space="0"/>
            </w:tcBorders>
            <w:vAlign w:val="center"/>
          </w:tcPr>
          <w:p>
            <w:pPr>
              <w:adjustRightInd w:val="0"/>
              <w:snapToGrid w:val="0"/>
              <w:rPr>
                <w:rFonts w:ascii="Times New Roman" w:hAnsi="Times New Roman" w:eastAsia="宋体" w:cs="Times New Roman"/>
                <w:bCs/>
                <w:snapToGrid w:val="0"/>
                <w:color w:val="auto"/>
                <w:spacing w:val="-10"/>
                <w:szCs w:val="21"/>
              </w:rPr>
            </w:pPr>
            <w:r>
              <w:rPr>
                <w:rFonts w:hint="eastAsia" w:ascii="Times New Roman" w:hAnsi="Times New Roman" w:eastAsia="宋体" w:cs="Times New Roman"/>
                <w:bCs/>
                <w:snapToGrid w:val="0"/>
                <w:color w:val="auto"/>
                <w:spacing w:val="-10"/>
                <w:szCs w:val="21"/>
              </w:rPr>
              <w:t>一、项目编号：</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项目名称：</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w:t>
            </w:r>
            <w:r>
              <w:rPr>
                <w:rFonts w:ascii="Times New Roman" w:hAnsi="Times New Roman" w:eastAsia="宋体" w:cs="Times New Roman"/>
                <w:bCs/>
                <w:snapToGrid w:val="0"/>
                <w:color w:val="auto"/>
                <w:spacing w:val="-10"/>
                <w:szCs w:val="21"/>
              </w:rPr>
              <w:t xml:space="preserve"> </w:t>
            </w:r>
            <w:r>
              <w:rPr>
                <w:rFonts w:hint="eastAsia" w:ascii="Times New Roman" w:hAnsi="Times New Roman" w:eastAsia="宋体" w:cs="Times New Roman"/>
                <w:bCs/>
                <w:snapToGrid w:val="0"/>
                <w:color w:val="auto"/>
                <w:spacing w:val="-10"/>
                <w:szCs w:val="21"/>
              </w:rPr>
              <w:t xml:space="preserve"> </w:t>
            </w:r>
          </w:p>
          <w:p>
            <w:pPr>
              <w:adjustRightInd w:val="0"/>
              <w:snapToGrid w:val="0"/>
              <w:rPr>
                <w:rFonts w:ascii="Times New Roman" w:hAnsi="Times New Roman" w:eastAsia="宋体" w:cs="Times New Roman"/>
                <w:bCs/>
                <w:snapToGrid w:val="0"/>
                <w:color w:val="auto"/>
                <w:spacing w:val="-10"/>
                <w:sz w:val="18"/>
              </w:rPr>
            </w:pPr>
            <w:r>
              <w:rPr>
                <w:rFonts w:hint="eastAsia" w:ascii="Times New Roman" w:hAnsi="Times New Roman" w:eastAsia="宋体" w:cs="Times New Roman"/>
                <w:bCs/>
                <w:snapToGrid w:val="0"/>
                <w:color w:val="auto"/>
                <w:spacing w:val="-10"/>
                <w:szCs w:val="21"/>
              </w:rPr>
              <w:t>二、合同标的</w:t>
            </w:r>
            <w:r>
              <w:rPr>
                <w:rFonts w:ascii="Times New Roman" w:hAnsi="Times New Roman" w:eastAsia="宋体" w:cs="Times New Roman"/>
                <w:bCs/>
                <w:snapToGrid w:val="0"/>
                <w:color w:val="auto"/>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序号</w:t>
            </w: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1" w:leftChars="-52"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编码</w:t>
            </w: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物资名称</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生产厂家</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（品牌）</w:t>
            </w: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规格型号</w:t>
            </w: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计量</w:t>
            </w:r>
          </w:p>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单位</w:t>
            </w: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数量</w:t>
            </w: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单价</w:t>
            </w:r>
          </w:p>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23" w:type="pct"/>
            <w:tcBorders>
              <w:top w:val="single" w:color="auto" w:sz="4" w:space="0"/>
              <w:left w:val="single" w:color="auto" w:sz="4" w:space="0"/>
              <w:bottom w:val="single" w:color="auto" w:sz="4" w:space="0"/>
              <w:right w:val="single" w:color="auto" w:sz="4" w:space="0"/>
            </w:tcBorders>
            <w:vAlign w:val="center"/>
          </w:tcPr>
          <w:p>
            <w:pPr>
              <w:widowControl/>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合计金额</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交付时间</w:t>
            </w: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13" w:rightChars="-58"/>
              <w:jc w:val="center"/>
              <w:rPr>
                <w:rFonts w:ascii="Times New Roman" w:hAnsi="Times New Roman" w:eastAsia="宋体" w:cs="Times New Roman"/>
                <w:color w:val="auto"/>
                <w:sz w:val="18"/>
              </w:rPr>
            </w:pP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color w:val="auto"/>
                <w:sz w:val="18"/>
              </w:rPr>
            </w:pP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5000" w:type="pct"/>
            <w:gridSpan w:val="14"/>
            <w:tcBorders>
              <w:top w:val="single" w:color="auto" w:sz="4" w:space="0"/>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color w:val="auto"/>
              </w:rPr>
            </w:pPr>
            <w:r>
              <w:rPr>
                <w:rFonts w:hint="eastAsia" w:ascii="Times New Roman" w:hAnsi="Times New Roman" w:eastAsia="宋体" w:cs="Times New Roman"/>
                <w:bCs/>
                <w:color w:val="auto"/>
              </w:rPr>
              <w:t>合计：人民币（</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）金额（大写）</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亿</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万</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元</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角</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分</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（小写）</w:t>
            </w:r>
            <w:r>
              <w:rPr>
                <w:rFonts w:ascii="Times New Roman" w:hAnsi="Times New Roman" w:eastAsia="宋体" w:cs="Times New Roman"/>
                <w:bCs/>
                <w:color w:val="auto"/>
              </w:rPr>
              <w:t>¥</w:t>
            </w:r>
            <w:r>
              <w:rPr>
                <w:rFonts w:hint="eastAsia" w:ascii="Times New Roman" w:hAnsi="Times New Roman" w:eastAsia="宋体" w:cs="Times New Roman"/>
                <w:bCs/>
                <w:color w:val="auto"/>
              </w:rPr>
              <w:t>：</w:t>
            </w:r>
          </w:p>
        </w:tc>
      </w:tr>
    </w:tbl>
    <w:p>
      <w:pPr>
        <w:adjustRightInd w:val="0"/>
        <w:snapToGrid w:val="0"/>
        <w:rPr>
          <w:rFonts w:ascii="Times New Roman" w:hAnsi="Times New Roman" w:eastAsia="华文中宋" w:cs="Times New Roman"/>
          <w:bCs/>
          <w:color w:val="auto"/>
          <w:szCs w:val="21"/>
        </w:rPr>
      </w:pP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三、质量标准</w:t>
            </w:r>
            <w:r>
              <w:rPr>
                <w:rFonts w:hint="eastAsia" w:ascii="宋体" w:hAnsi="宋体" w:eastAsia="宋体" w:cs="Times New Roman"/>
                <w:snapToGrid w:val="0"/>
                <w:color w:val="auto"/>
                <w:sz w:val="18"/>
              </w:rPr>
              <w:t xml:space="preserve">  乙方提供的货物必须是全新的、未使用过的，物资质量应符合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投标书或报价文件承</w:t>
            </w:r>
          </w:p>
          <w:p>
            <w:pPr>
              <w:adjustRightInd w:val="0"/>
              <w:snapToGrid w:val="0"/>
              <w:ind w:firstLine="1239" w:firstLineChars="751"/>
              <w:rPr>
                <w:rFonts w:ascii="宋体" w:hAnsi="宋体" w:eastAsia="宋体" w:cs="Times New Roman"/>
                <w:snapToGrid w:val="0"/>
                <w:color w:val="auto"/>
                <w:sz w:val="18"/>
                <w:u w:val="single"/>
              </w:rPr>
            </w:pPr>
            <w:r>
              <w:rPr>
                <w:rFonts w:hint="eastAsia" w:ascii="宋体" w:hAnsi="宋体" w:eastAsia="宋体" w:cs="Times New Roman"/>
                <w:snapToGrid w:val="0"/>
                <w:color w:val="auto"/>
                <w:sz w:val="18"/>
              </w:rPr>
              <w:t xml:space="preserve">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四、包装及资料</w:t>
            </w:r>
            <w:r>
              <w:rPr>
                <w:rFonts w:hint="eastAsia" w:ascii="宋体" w:hAnsi="宋体" w:eastAsia="宋体" w:cs="Times New Roman"/>
                <w:snapToGrid w:val="0"/>
                <w:color w:val="auto"/>
                <w:sz w:val="18"/>
              </w:rPr>
              <w:t xml:space="preserve">  物资包装应符合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投标书或报价文件承诺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404" w:firstLineChars="851"/>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物资出厂资料</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中文使用操作说明书（</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售后服务手册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操作维修光盘（</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履历书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装箱清单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随装工具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随装备件  </w:t>
            </w:r>
          </w:p>
          <w:p>
            <w:pPr>
              <w:adjustRightInd w:val="0"/>
              <w:snapToGrid w:val="0"/>
              <w:ind w:firstLine="1404" w:firstLineChars="851"/>
              <w:rPr>
                <w:rFonts w:ascii="宋体" w:hAnsi="宋体" w:eastAsia="宋体" w:cs="Times New Roman"/>
                <w:b/>
                <w:bCs/>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质量检验证明</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军检合格证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装备铭牌（块数、式样、材质、安装位置供需双方商定）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五、检验验收</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出厂验收由</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组织，乙方配合。  □乙方详细生产地址</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交货验收</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过程检验</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b/>
                <w:bCs/>
                <w:snapToGrid w:val="0"/>
                <w:color w:val="auto"/>
                <w:sz w:val="18"/>
              </w:rPr>
            </w:pPr>
            <w:r>
              <w:rPr>
                <w:rFonts w:hint="eastAsia" w:ascii="黑体" w:hAnsi="黑体" w:eastAsia="黑体" w:cs="Times New Roman"/>
                <w:bCs/>
                <w:snapToGrid w:val="0"/>
                <w:color w:val="auto"/>
                <w:sz w:val="18"/>
              </w:rPr>
              <w:t>六、交货地点</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甲方发运接收单指定地点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七、交货方式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甲方自提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乙方送货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甲方负责申请（</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公路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铁路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水运</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航空）军事运输计划组织发运，乙方配合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u w:val="single"/>
              </w:rPr>
            </w:pPr>
            <w:r>
              <w:rPr>
                <w:rFonts w:hint="eastAsia" w:ascii="黑体" w:hAnsi="黑体" w:eastAsia="黑体" w:cs="Times New Roman"/>
                <w:bCs/>
                <w:snapToGrid w:val="0"/>
                <w:color w:val="auto"/>
                <w:sz w:val="18"/>
              </w:rPr>
              <w:t>八、运输费用</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甲方承担，乙方代垫，凭票据报销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甲方承担费用</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元，乙方包干使用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九、售后服务</w:t>
            </w:r>
            <w:r>
              <w:rPr>
                <w:rFonts w:hint="eastAsia" w:ascii="宋体" w:hAnsi="宋体" w:eastAsia="宋体" w:cs="Times New Roman"/>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售后服务联系方式：固定电话</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，手机</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，电子邮箱</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79" w:firstLineChars="775"/>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质保期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。质保期内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，超出质保期后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保修期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。保修期内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，超出保修期后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培训方式及费用承担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szCs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乙方承诺在战时和平时特殊情况下的军事行动中优先向甲方提供有关支援服务。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szCs w:val="18"/>
              </w:rPr>
              <w:t>。</w:t>
            </w:r>
          </w:p>
          <w:p>
            <w:pPr>
              <w:adjustRightInd w:val="0"/>
              <w:snapToGrid w:val="0"/>
              <w:ind w:left="1276" w:hanging="1282" w:hangingChars="777"/>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十、资金结算</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自本合同签订生效之日起</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天内，甲方向乙方支付合同总金额的</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的预付款。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首检合格后再办理预付款。</w:t>
            </w:r>
            <w:r>
              <w:rPr>
                <w:rFonts w:cs="Times New Roman" w:asciiTheme="minorEastAsia" w:hAnsiTheme="minorEastAsia"/>
                <w:snapToGrid w:val="0"/>
                <w:color w:val="auto"/>
                <w:sz w:val="18"/>
                <w:szCs w:val="18"/>
              </w:rPr>
              <w:t>□</w:t>
            </w:r>
            <w:r>
              <w:rPr>
                <w:rFonts w:hint="eastAsia" w:ascii="宋体" w:hAnsi="宋体" w:eastAsia="宋体" w:cs="Times New Roman"/>
                <w:snapToGrid w:val="0"/>
                <w:color w:val="auto"/>
                <w:sz w:val="18"/>
              </w:rPr>
              <w:t>物资检验验收合格并完成交货后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天内，甲方凭乙方提供的相关票据单证，向乙方支付合同总金额的</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余</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作为质量保证金，自交货之日起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三个月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六个月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十二个月  </w:t>
            </w:r>
            <w:r>
              <w:rPr>
                <w:rFonts w:ascii="宋体" w:hAnsi="宋体" w:eastAsia="宋体" w:cs="Times New Roman"/>
                <w:snapToGrid w:val="0"/>
                <w:color w:val="auto"/>
                <w:sz w:val="18"/>
              </w:rPr>
              <w:t>□</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月正常使用且无质量问题时，一次性结清。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最终结算按审价报告执行。</w:t>
            </w:r>
          </w:p>
          <w:p>
            <w:pPr>
              <w:adjustRightInd w:val="0"/>
              <w:snapToGrid w:val="0"/>
              <w:rPr>
                <w:rFonts w:ascii="Times New Roman" w:hAnsi="Times New Roman" w:eastAsia="宋体" w:cs="Times New Roman"/>
                <w:bCs/>
                <w:snapToGrid w:val="0"/>
                <w:color w:val="auto"/>
                <w:sz w:val="18"/>
              </w:rPr>
            </w:pPr>
            <w:r>
              <w:rPr>
                <w:rFonts w:hint="eastAsia" w:ascii="黑体" w:hAnsi="黑体" w:eastAsia="黑体" w:cs="Times New Roman"/>
                <w:bCs/>
                <w:snapToGrid w:val="0"/>
                <w:color w:val="auto"/>
                <w:sz w:val="18"/>
              </w:rPr>
              <w:t>十一、知识产权</w:t>
            </w:r>
            <w:r>
              <w:rPr>
                <w:rFonts w:hint="eastAsia" w:ascii="Times New Roman" w:hAnsi="Times New Roman" w:eastAsia="宋体" w:cs="Times New Roman"/>
                <w:b/>
                <w:bCs/>
                <w:snapToGrid w:val="0"/>
                <w:color w:val="auto"/>
                <w:sz w:val="18"/>
              </w:rPr>
              <w:t xml:space="preserve">  </w:t>
            </w:r>
            <w:r>
              <w:rPr>
                <w:rFonts w:hint="eastAsia" w:ascii="Times New Roman" w:hAnsi="Times New Roman" w:eastAsia="宋体" w:cs="Times New Roman"/>
                <w:bCs/>
                <w:snapToGrid w:val="0"/>
                <w:color w:val="auto"/>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十二、保密责任</w:t>
            </w:r>
            <w:r>
              <w:rPr>
                <w:rFonts w:hint="eastAsia" w:ascii="宋体" w:hAnsi="宋体" w:eastAsia="宋体" w:cs="Times New Roman"/>
                <w:b/>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甲方对乙方的商业秘密应当保密  </w:t>
            </w: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 xml:space="preserve">乙方对本合同的签订、履行及解除等事项保密，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涉及物资的全部技术资料等未经甲方同意乙方不得向社会公开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乙方应对甲方委托送货的发运单、接收单位目录和售后服务单位目录等资料，按密级管理，不得泄密。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u w:val="single"/>
              </w:rPr>
              <w:t xml:space="preserve"> </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 xml:space="preserve">十三、合同变更与解除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甲乙双方任何一方要求变更、解除或终止合同时，应及时通知对方，并采用书面形式由双方达成协议</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甲方因任务取消等情况，可以变更或解除合同，给乙方造成损失的，甲方应当赔偿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乙方不能履行合同时，甲方有权解除合同，给甲方造成损失的，乙方应当赔偿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未经甲方允许，乙方不得部分或全部转让其应履行的合同义务</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产品出厂验收不合格，甲方有权拒收货物和支付货款，由此造成的一切损失由乙方承担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十四、违约责任</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甲乙任何一方未经对方允许而违约时，违约方应向对方支付违约金，按</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执行，违约金最高限额为合同总金额的</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color w:val="auto"/>
                <w:sz w:val="18"/>
              </w:rPr>
              <w:t>36</w:t>
            </w:r>
            <w:r>
              <w:rPr>
                <w:rFonts w:hint="eastAsia" w:ascii="宋体" w:hAnsi="宋体" w:eastAsia="宋体" w:cs="Times New Roman"/>
                <w:snapToGrid w:val="0"/>
                <w:color w:val="auto"/>
                <w:sz w:val="18"/>
              </w:rPr>
              <w:t>小时内将情况通知另一方，在灾害发生后</w:t>
            </w:r>
            <w:r>
              <w:rPr>
                <w:rFonts w:ascii="宋体" w:hAnsi="宋体" w:eastAsia="宋体" w:cs="Times New Roman"/>
                <w:snapToGrid w:val="0"/>
                <w:color w:val="auto"/>
                <w:sz w:val="18"/>
              </w:rPr>
              <w:t>14</w:t>
            </w:r>
            <w:r>
              <w:rPr>
                <w:rFonts w:hint="eastAsia" w:ascii="宋体" w:hAnsi="宋体" w:eastAsia="宋体" w:cs="Times New Roman"/>
                <w:snapToGrid w:val="0"/>
                <w:color w:val="auto"/>
                <w:sz w:val="18"/>
              </w:rPr>
              <w:t>天内向另一方出具权威部门的证明文件。如果不可抗力影响连续</w:t>
            </w:r>
            <w:r>
              <w:rPr>
                <w:rFonts w:ascii="宋体" w:hAnsi="宋体" w:eastAsia="宋体" w:cs="Times New Roman"/>
                <w:snapToGrid w:val="0"/>
                <w:color w:val="auto"/>
                <w:sz w:val="18"/>
              </w:rPr>
              <w:t>120</w:t>
            </w:r>
            <w:r>
              <w:rPr>
                <w:rFonts w:hint="eastAsia" w:ascii="宋体" w:hAnsi="宋体" w:eastAsia="宋体" w:cs="Times New Roman"/>
                <w:snapToGrid w:val="0"/>
                <w:color w:val="auto"/>
                <w:sz w:val="18"/>
              </w:rPr>
              <w:t>天以上时，双方可以重新商定合同履行问题。</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十五、合同争议解决方式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甲乙双方协商解决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提交甲方或乙方主管部门调解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提交</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仲裁委员会仲裁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依法向</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人民法院起诉。</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十六、合同生效</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草本合同由甲乙双方法定代表人或委托代理人签字并经单位盖章，由甲方报上级有关部门审批通过后，签订正式合同。</w:t>
            </w:r>
            <w:r>
              <w:rPr>
                <w:rFonts w:ascii="宋体" w:hAnsi="宋体" w:eastAsia="宋体" w:cs="Times New Roman"/>
                <w:snapToGrid w:val="0"/>
                <w:color w:val="auto"/>
                <w:sz w:val="18"/>
              </w:rPr>
              <w:t xml:space="preserve"> </w:t>
            </w:r>
          </w:p>
          <w:p>
            <w:pPr>
              <w:adjustRightInd w:val="0"/>
              <w:snapToGrid w:val="0"/>
              <w:ind w:firstLine="248" w:firstLineChars="150"/>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color w:val="auto"/>
                <w:sz w:val="18"/>
              </w:rPr>
            </w:pPr>
            <w:r>
              <w:rPr>
                <w:rFonts w:hint="eastAsia" w:cs="Times New Roman" w:asciiTheme="minorEastAsia" w:hAnsiTheme="minorEastAsia"/>
                <w:snapToGrid w:val="0"/>
                <w:color w:val="auto"/>
                <w:sz w:val="18"/>
                <w:szCs w:val="18"/>
              </w:rPr>
              <w:t>正式合同一式</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份，甲方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份，乙方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份，具有同等法律效力。</w:t>
            </w:r>
            <w:r>
              <w:rPr>
                <w:rFonts w:cs="Times New Roman" w:asciiTheme="minorEastAsia" w:hAnsiTheme="minorEastAsia"/>
                <w:snapToGrid w:val="0"/>
                <w:color w:val="auto"/>
                <w:sz w:val="18"/>
                <w:szCs w:val="18"/>
              </w:rPr>
              <w:t>□</w:t>
            </w:r>
            <w:r>
              <w:rPr>
                <w:rFonts w:hint="eastAsia" w:cs="Times New Roman" w:asciiTheme="minorEastAsia" w:hAnsiTheme="minorEastAsia"/>
                <w:snapToGrid w:val="0"/>
                <w:color w:val="auto"/>
                <w:sz w:val="18"/>
                <w:szCs w:val="18"/>
              </w:rPr>
              <w:t>合同有效期限</w:t>
            </w:r>
            <w:r>
              <w:rPr>
                <w:rFonts w:hint="eastAsia" w:cs="Times New Roman" w:asciiTheme="minorEastAsia" w:hAnsiTheme="minorEastAsia"/>
                <w:snapToGrid w:val="0"/>
                <w:color w:val="auto"/>
                <w:sz w:val="18"/>
                <w:szCs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十七、合同附件</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color w:val="auto"/>
                <w:sz w:val="18"/>
              </w:rPr>
            </w:pPr>
            <w:r>
              <w:rPr>
                <w:rFonts w:hint="eastAsia" w:ascii="宋体" w:hAnsi="宋体" w:eastAsia="宋体" w:cs="Times New Roman"/>
                <w:snapToGrid w:val="0"/>
                <w:color w:val="auto"/>
                <w:sz w:val="18"/>
              </w:rPr>
              <w:t>□5.</w:t>
            </w:r>
            <w:r>
              <w:rPr>
                <w:rFonts w:hint="eastAsia" w:ascii="仿宋_GB2312" w:hAnsi="Times New Roman" w:eastAsia="仿宋_GB2312" w:cs="Times New Roman"/>
                <w:color w:val="auto"/>
                <w:sz w:val="32"/>
                <w:szCs w:val="32"/>
              </w:rPr>
              <w:t xml:space="preserve"> </w:t>
            </w:r>
            <w:r>
              <w:rPr>
                <w:rFonts w:hint="eastAsia" w:ascii="宋体" w:hAnsi="宋体" w:eastAsia="宋体" w:cs="Times New Roman"/>
                <w:snapToGrid w:val="0"/>
                <w:color w:val="auto"/>
                <w:sz w:val="18"/>
              </w:rPr>
              <w:t>详见乙方参与采购人</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项目（项目编号：</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）报价文件和评审现场承诺，本合同不另附。</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十八、其    他</w:t>
            </w:r>
            <w:r>
              <w:rPr>
                <w:rFonts w:ascii="Times New Roman" w:hAnsi="Times New Roman" w:eastAsia="宋体" w:cs="Times New Roman"/>
                <w:b/>
                <w:bCs/>
                <w:snapToGrid w:val="0"/>
                <w:color w:val="auto"/>
                <w:sz w:val="18"/>
              </w:rPr>
              <w:t xml:space="preserve"> </w:t>
            </w:r>
            <w:r>
              <w:rPr>
                <w:rFonts w:ascii="Times New Roman" w:hAnsi="Times New Roman" w:eastAsia="宋体" w:cs="Times New Roman"/>
                <w:snapToGrid w:val="0"/>
                <w:color w:val="auto"/>
                <w:sz w:val="18"/>
                <w:u w:val="single"/>
              </w:rPr>
              <w:t xml:space="preserve">                                           </w:t>
            </w:r>
            <w:r>
              <w:rPr>
                <w:rFonts w:hint="eastAsia" w:ascii="Times New Roman" w:hAnsi="Times New Roman"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十九、</w:t>
            </w:r>
            <w:r>
              <w:rPr>
                <w:rFonts w:hint="eastAsia" w:ascii="Times New Roman" w:hAnsi="Times New Roman" w:eastAsia="宋体" w:cs="Times New Roman"/>
                <w:snapToGrid w:val="0"/>
                <w:color w:val="auto"/>
                <w:sz w:val="18"/>
              </w:rPr>
              <w:t>未尽事宜由甲乙双方协商确定。</w:t>
            </w:r>
            <w:r>
              <w:rPr>
                <w:rFonts w:ascii="Times New Roman" w:hAnsi="Times New Roman" w:eastAsia="宋体" w:cs="Times New Roman"/>
                <w:snapToGrid w:val="0"/>
                <w:color w:val="auto"/>
                <w:sz w:val="18"/>
              </w:rPr>
              <w:t xml:space="preserve"> </w:t>
            </w:r>
          </w:p>
        </w:tc>
      </w:tr>
    </w:tbl>
    <w:p>
      <w:pPr>
        <w:rPr>
          <w:rFonts w:ascii="宋体" w:hAnsi="宋体" w:eastAsia="宋体" w:cs="Times New Roman"/>
          <w:color w:val="auto"/>
          <w:szCs w:val="21"/>
        </w:rPr>
      </w:pPr>
    </w:p>
    <w:p>
      <w:pPr>
        <w:rPr>
          <w:rFonts w:ascii="黑体" w:hAnsi="Times New Roman" w:eastAsia="黑体" w:cs="Times New Roman"/>
          <w:color w:val="auto"/>
          <w:sz w:val="28"/>
          <w:szCs w:val="28"/>
        </w:rPr>
      </w:pPr>
    </w:p>
    <w:p>
      <w:pP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附件1</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交货清单</w:t>
      </w:r>
    </w:p>
    <w:tbl>
      <w:tblPr>
        <w:tblStyle w:val="20"/>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注：1.含备品备件。</w:t>
      </w:r>
    </w:p>
    <w:p>
      <w:pPr>
        <w:ind w:firstLine="39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2.按交货时可验视部分填写。</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附件2</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产品技术指标参数</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附件3</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售后服务承诺</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附件4</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易损易耗件清单</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color w:val="auto"/>
                <w:kern w:val="0"/>
                <w:szCs w:val="21"/>
              </w:rPr>
              <w:t>易损易耗件</w:t>
            </w:r>
            <w:r>
              <w:rPr>
                <w:rFonts w:hint="eastAsia" w:ascii="Times New Roman" w:hAnsi="Times New Roman" w:eastAsia="宋体" w:cs="Times New Roman"/>
                <w:snapToGrid w:val="0"/>
                <w:color w:val="auto"/>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 w:val="28"/>
          <w:szCs w:val="28"/>
        </w:rPr>
      </w:pPr>
    </w:p>
    <w:p>
      <w:pPr>
        <w:jc w:val="center"/>
        <w:rPr>
          <w:rFonts w:ascii="Times New Roman" w:hAnsi="Times New Roman" w:eastAsia="宋体" w:cs="Times New Roman"/>
          <w:color w:val="auto"/>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color w:val="auto"/>
          <w:kern w:val="0"/>
          <w:sz w:val="32"/>
          <w:szCs w:val="32"/>
        </w:rPr>
      </w:pPr>
      <w:bookmarkStart w:id="19" w:name="_Toc37172691"/>
      <w:bookmarkStart w:id="20" w:name="_Toc37780287"/>
      <w:bookmarkStart w:id="21" w:name="_Toc435540982"/>
      <w:bookmarkStart w:id="22" w:name="_Toc285612604"/>
      <w:bookmarkStart w:id="23" w:name="_Toc240432233"/>
      <w:bookmarkStart w:id="24" w:name="_Toc390713970"/>
      <w:r>
        <w:rPr>
          <w:rFonts w:hint="eastAsia" w:ascii="黑体" w:hAnsi="黑体" w:eastAsia="黑体" w:cs="Times New Roman"/>
          <w:color w:val="auto"/>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color w:val="auto"/>
          <w:kern w:val="0"/>
          <w:sz w:val="28"/>
          <w:szCs w:val="28"/>
        </w:rPr>
      </w:pP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附件1：报价函</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附件2：报价一览表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附件3：分项报价表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附件4：货物简要说明一览表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附件5：主要技术性能参数表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附件6：技术指标参数响应偏离表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附件7：主要商务条款响应偏离表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附件8：交货清单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附件9：易损易耗备件清单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附件10：专机配套耗材（试剂）明细表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附件11：报价方售后服务承诺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附件12：生产厂家售后服务承诺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附件13：近3年成交案例及同类项目案例</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附件14：技术评审表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附件15：商务评审表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附件17：法定代表人授权书（含法定代表人身份证复印件）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附件18：主要股东或出资人信息</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附件19：保密承诺书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附件20：廉洁诚信承诺书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附件21：相关声明书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附件22：生产企业对代理公司参与报价的授权书</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w:t>
      </w:r>
    </w:p>
    <w:p>
      <w:pPr>
        <w:spacing w:line="560" w:lineRule="exact"/>
        <w:jc w:val="center"/>
        <w:rPr>
          <w:rFonts w:ascii="方正小标宋简体" w:hAnsi="Times New Roman" w:eastAsia="方正小标宋简体" w:cs="Times New Roman"/>
          <w:color w:val="auto"/>
          <w:kern w:val="0"/>
          <w:sz w:val="30"/>
          <w:szCs w:val="30"/>
        </w:rPr>
      </w:pPr>
      <w:r>
        <w:rPr>
          <w:rFonts w:hint="eastAsia" w:ascii="方正小标宋简体" w:hAnsi="Times New Roman" w:eastAsia="方正小标宋简体" w:cs="Times New Roman"/>
          <w:color w:val="auto"/>
          <w:kern w:val="0"/>
          <w:sz w:val="30"/>
          <w:szCs w:val="30"/>
        </w:rPr>
        <w:t>报  价  函</w:t>
      </w:r>
    </w:p>
    <w:p>
      <w:pPr>
        <w:spacing w:line="400" w:lineRule="exact"/>
        <w:rPr>
          <w:rFonts w:ascii="仿宋_GB2312" w:hAnsi="Times New Roman" w:eastAsia="仿宋_GB2312" w:cs="Times New Roman"/>
          <w:color w:val="auto"/>
          <w:kern w:val="0"/>
          <w:sz w:val="32"/>
          <w:szCs w:val="32"/>
        </w:rPr>
      </w:pPr>
    </w:p>
    <w:p>
      <w:pPr>
        <w:spacing w:line="440" w:lineRule="exact"/>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我方参加贵单位组织的</w:t>
      </w:r>
      <w:r>
        <w:rPr>
          <w:rFonts w:hint="eastAsia" w:cs="Times New Roman" w:asciiTheme="minorEastAsia" w:hAnsiTheme="minorEastAsia"/>
          <w:color w:val="auto"/>
          <w:kern w:val="0"/>
          <w:sz w:val="28"/>
          <w:szCs w:val="28"/>
          <w:u w:val="single"/>
        </w:rPr>
        <w:t>（项目编号、项目名称）</w:t>
      </w:r>
      <w:r>
        <w:rPr>
          <w:rFonts w:hint="eastAsia" w:cs="Times New Roman" w:asciiTheme="minorEastAsia" w:hAnsiTheme="minorEastAsia"/>
          <w:color w:val="auto"/>
          <w:kern w:val="0"/>
          <w:sz w:val="28"/>
          <w:szCs w:val="28"/>
        </w:rPr>
        <w:t>竞争性谈判采购活动，并对</w:t>
      </w:r>
      <w:r>
        <w:rPr>
          <w:rFonts w:hint="eastAsia" w:cs="Times New Roman" w:asciiTheme="minorEastAsia" w:hAnsiTheme="minorEastAsia"/>
          <w:color w:val="auto"/>
          <w:kern w:val="0"/>
          <w:sz w:val="28"/>
          <w:szCs w:val="28"/>
          <w:u w:val="single"/>
        </w:rPr>
        <w:t>（包号或货物名称）</w:t>
      </w:r>
      <w:r>
        <w:rPr>
          <w:rFonts w:hint="eastAsia" w:cs="Times New Roman" w:asciiTheme="minorEastAsia" w:hAnsiTheme="minorEastAsia"/>
          <w:color w:val="auto"/>
          <w:kern w:val="0"/>
          <w:sz w:val="28"/>
          <w:szCs w:val="28"/>
        </w:rPr>
        <w:t>进行报价。</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一、按照谈判文件规定提交</w:t>
      </w:r>
      <w:r>
        <w:rPr>
          <w:rFonts w:hint="eastAsia" w:cs="Times New Roman" w:asciiTheme="minorEastAsia" w:hAnsiTheme="minorEastAsia"/>
          <w:color w:val="auto"/>
          <w:kern w:val="0"/>
          <w:sz w:val="28"/>
          <w:szCs w:val="28"/>
          <w:lang w:val="zh-CN"/>
        </w:rPr>
        <w:t>报价文件正本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份和副本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w:t>
      </w:r>
      <w:r>
        <w:rPr>
          <w:rFonts w:hint="eastAsia" w:cs="Times New Roman" w:asciiTheme="minorEastAsia" w:hAnsiTheme="minorEastAsia"/>
          <w:color w:val="auto"/>
          <w:kern w:val="0"/>
          <w:sz w:val="28"/>
          <w:szCs w:val="28"/>
          <w:lang w:val="zh-CN"/>
        </w:rPr>
        <w:t>我方已完全理解谈判文件的全部内容，自愿接受并执行谈判文件的全部条款</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三、本报价文件</w:t>
      </w:r>
      <w:r>
        <w:rPr>
          <w:rFonts w:hint="eastAsia" w:cs="Times New Roman" w:asciiTheme="minorEastAsia" w:hAnsiTheme="minorEastAsia"/>
          <w:color w:val="auto"/>
          <w:kern w:val="0"/>
          <w:sz w:val="28"/>
          <w:szCs w:val="28"/>
          <w:lang w:val="zh-CN"/>
        </w:rPr>
        <w:t>有效期自报价截止之日起180日内有效</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Times New Roman" w:asciiTheme="minorEastAsia" w:hAnsiTheme="minorEastAsia"/>
          <w:color w:val="auto"/>
          <w:kern w:val="0"/>
          <w:sz w:val="28"/>
          <w:szCs w:val="28"/>
        </w:rPr>
        <w:t>四、</w:t>
      </w:r>
      <w:r>
        <w:rPr>
          <w:rFonts w:hint="eastAsia" w:cs="宋体" w:asciiTheme="minorEastAsia" w:hAnsiTheme="minorEastAsia"/>
          <w:snapToGrid w:val="0"/>
          <w:color w:val="auto"/>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宋体" w:asciiTheme="minorEastAsia" w:hAnsiTheme="minorEastAsia"/>
          <w:snapToGrid w:val="0"/>
          <w:color w:val="auto"/>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宋体" w:asciiTheme="minorEastAsia" w:hAnsiTheme="minorEastAsia"/>
          <w:snapToGrid w:val="0"/>
          <w:color w:val="auto"/>
          <w:kern w:val="0"/>
          <w:sz w:val="28"/>
          <w:szCs w:val="28"/>
          <w:lang w:val="zh-CN"/>
        </w:rPr>
        <w:t>六、</w:t>
      </w:r>
      <w:r>
        <w:rPr>
          <w:rFonts w:hint="eastAsia" w:cs="Times New Roman" w:asciiTheme="minorEastAsia" w:hAnsiTheme="minorEastAsia"/>
          <w:color w:val="auto"/>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七、联系方式</w:t>
      </w:r>
    </w:p>
    <w:p>
      <w:pPr>
        <w:spacing w:line="440" w:lineRule="exact"/>
        <w:ind w:firstLine="1084" w:firstLineChars="4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联 系 人：        电话：          传    真：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地    址：                        邮政编码：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开户名称：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开户银行：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银行账号：                        </w:t>
      </w:r>
    </w:p>
    <w:p>
      <w:pPr>
        <w:spacing w:line="440" w:lineRule="exact"/>
        <w:ind w:firstLine="1328" w:firstLineChars="490"/>
        <w:rPr>
          <w:rFonts w:cs="Times New Roman" w:asciiTheme="minorEastAsia" w:hAnsiTheme="minorEastAsia"/>
          <w:color w:val="auto"/>
          <w:kern w:val="0"/>
          <w:sz w:val="28"/>
          <w:szCs w:val="28"/>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w:t>
      </w:r>
    </w:p>
    <w:p>
      <w:pPr>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报价一览表</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项目名称：</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项目编号：</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金额单位：元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包</w:t>
            </w:r>
            <w:r>
              <w:rPr>
                <w:rFonts w:hint="eastAsia" w:ascii="宋体" w:hAnsi="宋体" w:eastAsia="宋体" w:cs="Times New Roman"/>
                <w:color w:val="auto"/>
                <w:kern w:val="0"/>
                <w:sz w:val="24"/>
                <w:szCs w:val="24"/>
              </w:rPr>
              <w:t>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p>
            <w:pPr>
              <w:jc w:val="center"/>
              <w:rPr>
                <w:rFonts w:ascii="宋体" w:hAnsi="宋体" w:eastAsia="宋体" w:cs="Times New Roman"/>
                <w:bCs/>
                <w:color w:val="auto"/>
                <w:spacing w:val="-4"/>
                <w:kern w:val="0"/>
                <w:sz w:val="24"/>
                <w:szCs w:val="24"/>
              </w:rPr>
            </w:pPr>
            <w:r>
              <w:rPr>
                <w:rFonts w:hint="eastAsia" w:ascii="宋体" w:hAnsi="宋体" w:eastAsia="宋体" w:cs="Times New Roman"/>
                <w:color w:val="auto"/>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货物总金额（大写人民币）</w:t>
            </w:r>
            <w:r>
              <w:rPr>
                <w:rFonts w:hint="eastAsia" w:ascii="宋体" w:hAnsi="宋体" w:eastAsia="宋体" w:cs="Times New Roman"/>
                <w:bCs/>
                <w:color w:val="auto"/>
                <w:spacing w:val="-4"/>
                <w:kern w:val="0"/>
                <w:sz w:val="24"/>
                <w:szCs w:val="24"/>
              </w:rPr>
              <w:t>：</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 xml:space="preserve"> </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（小写）</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r>
              <w:rPr>
                <w:rFonts w:hint="eastAsia" w:ascii="宋体" w:hAnsi="宋体" w:eastAsia="宋体" w:cs="Times New Roman"/>
                <w:bCs/>
                <w:color w:val="auto"/>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p>
        </w:tc>
      </w:tr>
    </w:tbl>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说明：总价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单价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数量，</w:t>
      </w:r>
      <w:r>
        <w:rPr>
          <w:rFonts w:hint="eastAsia" w:ascii="宋体" w:hAnsi="宋体" w:eastAsia="宋体" w:cs="Times New Roman"/>
          <w:color w:val="auto"/>
          <w:kern w:val="0"/>
          <w:sz w:val="24"/>
          <w:szCs w:val="24"/>
        </w:rPr>
        <w:t>货物总金额</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总价之和。</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rPr>
          <w:rFonts w:ascii="黑体" w:hAnsi="黑体" w:eastAsia="黑体" w:cs="Times New Roman"/>
          <w:color w:val="auto"/>
          <w:kern w:val="0"/>
          <w:sz w:val="28"/>
          <w:szCs w:val="28"/>
        </w:rPr>
      </w:pP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附件3</w:t>
      </w:r>
    </w:p>
    <w:p>
      <w:pPr>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分项报价表</w:t>
      </w:r>
    </w:p>
    <w:p>
      <w:pPr>
        <w:jc w:val="left"/>
        <w:rPr>
          <w:rFonts w:ascii="Times New Roman" w:hAnsi="Times New Roman" w:eastAsia="宋体" w:cs="Times New Roman"/>
          <w:color w:val="auto"/>
          <w:kern w:val="0"/>
          <w:sz w:val="28"/>
          <w:szCs w:val="28"/>
        </w:rPr>
      </w:pPr>
    </w:p>
    <w:p>
      <w:pPr>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项目名称：</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spacing w:val="8"/>
          <w:kern w:val="0"/>
          <w:sz w:val="24"/>
          <w:szCs w:val="24"/>
        </w:rPr>
        <w:t>项目编</w:t>
      </w:r>
      <w:r>
        <w:rPr>
          <w:rFonts w:hint="eastAsia" w:ascii="宋体" w:hAnsi="宋体" w:eastAsia="宋体" w:cs="Times New Roman"/>
          <w:color w:val="auto"/>
          <w:kern w:val="0"/>
          <w:sz w:val="24"/>
          <w:szCs w:val="24"/>
        </w:rPr>
        <w:t>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包号：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金额单位：元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货物总金额（大写人民币）：</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w:t>
            </w:r>
          </w:p>
        </w:tc>
      </w:tr>
    </w:tbl>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说明：</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 xml:space="preserve"> 根据货物简要说明一览表中分项填写。</w:t>
      </w:r>
    </w:p>
    <w:p>
      <w:pP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xml:space="preserve">          </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bookmarkStart w:id="25" w:name="_Toc285612606"/>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ind w:firstLine="480" w:firstLineChars="200"/>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jc w:val="center"/>
        <w:rPr>
          <w:rFonts w:ascii="宋体" w:hAnsi="宋体" w:eastAsia="宋体" w:cs="Times New Roman"/>
          <w:color w:val="auto"/>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32"/>
          <w:szCs w:val="32"/>
        </w:rPr>
        <w:t>货物简要说明一览表</w:t>
      </w:r>
    </w:p>
    <w:p>
      <w:pPr>
        <w:autoSpaceDE w:val="0"/>
        <w:autoSpaceDN w:val="0"/>
        <w:adjustRightInd w:val="0"/>
        <w:rPr>
          <w:rFonts w:ascii="华文中宋" w:hAnsi="华文中宋" w:eastAsia="华文中宋" w:cs="宋体"/>
          <w:color w:val="auto"/>
          <w:kern w:val="0"/>
          <w:sz w:val="24"/>
          <w:szCs w:val="24"/>
          <w:lang w:val="zh-CN"/>
        </w:rPr>
      </w:pPr>
      <w:r>
        <w:rPr>
          <w:rFonts w:hint="eastAsia" w:ascii="宋体" w:hAnsi="宋体" w:eastAsia="宋体" w:cs="宋体"/>
          <w:color w:val="auto"/>
          <w:kern w:val="0"/>
          <w:sz w:val="24"/>
          <w:szCs w:val="24"/>
        </w:rPr>
        <w:t xml:space="preserve">项目名称：                       项目编号：                     包号：   </w:t>
      </w:r>
    </w:p>
    <w:tbl>
      <w:tblPr>
        <w:tblStyle w:val="20"/>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计量</w:t>
            </w:r>
          </w:p>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bl>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spacing w:line="420" w:lineRule="exact"/>
        <w:ind w:right="539"/>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附件5</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主要技术性能参数表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widowControl/>
        <w:jc w:val="left"/>
        <w:rPr>
          <w:rFonts w:ascii="仿宋_GB2312" w:hAnsi="宋体" w:eastAsia="仿宋_GB2312" w:cs="宋体"/>
          <w:color w:val="auto"/>
          <w:kern w:val="0"/>
          <w:sz w:val="32"/>
          <w:szCs w:val="32"/>
          <w:lang w:val="zh-CN"/>
        </w:rPr>
      </w:pPr>
      <w:r>
        <w:rPr>
          <w:rFonts w:ascii="仿宋_GB2312" w:hAnsi="宋体" w:eastAsia="仿宋_GB2312" w:cs="宋体"/>
          <w:color w:val="auto"/>
          <w:kern w:val="0"/>
          <w:sz w:val="32"/>
          <w:szCs w:val="32"/>
          <w:lang w:val="zh-CN"/>
        </w:rPr>
        <w:br w:type="page"/>
      </w:r>
    </w:p>
    <w:p>
      <w:pPr>
        <w:rPr>
          <w:rFonts w:ascii="仿宋_GB2312" w:hAnsi="宋体" w:eastAsia="仿宋_GB2312" w:cs="宋体"/>
          <w:color w:val="auto"/>
          <w:kern w:val="0"/>
          <w:sz w:val="32"/>
          <w:szCs w:val="32"/>
        </w:rPr>
      </w:pPr>
      <w:r>
        <w:rPr>
          <w:rFonts w:hint="eastAsia" w:ascii="黑体" w:hAnsi="黑体" w:eastAsia="黑体" w:cs="Times New Roman"/>
          <w:color w:val="auto"/>
          <w:kern w:val="0"/>
          <w:sz w:val="32"/>
          <w:szCs w:val="32"/>
        </w:rPr>
        <w:t>附件6</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技术指标参数响应偏离表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部件</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说明：</w:t>
      </w:r>
      <w:r>
        <w:rPr>
          <w:rFonts w:hint="eastAsia" w:ascii="宋体" w:hAnsi="宋体" w:eastAsia="宋体" w:cs="Times New Roman"/>
          <w:bCs/>
          <w:color w:val="auto"/>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color w:val="auto"/>
          <w:kern w:val="0"/>
          <w:sz w:val="24"/>
          <w:szCs w:val="24"/>
        </w:rPr>
        <w:t>技术指标参数响应栏如果原文复制谈判文件技术要求，可能会被视为无效报价。</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附件7</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主要商务条款响应偏离表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bl>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color w:val="auto"/>
          <w:kern w:val="0"/>
          <w:sz w:val="24"/>
          <w:szCs w:val="24"/>
          <w:u w:val="single"/>
        </w:rPr>
      </w:pPr>
      <w:r>
        <w:rPr>
          <w:rFonts w:hint="eastAsia" w:ascii="楷体_GB2312" w:eastAsia="楷体_GB2312" w:cs="Times New Roman" w:hAnsiTheme="minorEastAsia"/>
          <w:color w:val="auto"/>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rPr>
        <w:t>本表所列条款必须一一予以响应，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报价文件商务条款响应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2.</w:t>
      </w:r>
      <w:r>
        <w:rPr>
          <w:rFonts w:hint="eastAsia" w:cs="Times New Roman" w:asciiTheme="minorEastAsia" w:hAnsiTheme="minorEastAsia"/>
          <w:color w:val="auto"/>
          <w:kern w:val="0"/>
          <w:sz w:val="24"/>
          <w:szCs w:val="24"/>
        </w:rPr>
        <w:t>请报价方认真填写本表内容，如填写错误将可能导致报价无效。</w:t>
      </w:r>
    </w:p>
    <w:p>
      <w:pPr>
        <w:ind w:firstLine="3047" w:firstLineChars="1319"/>
        <w:rPr>
          <w:rFonts w:cs="Times New Roman" w:asciiTheme="minorEastAsia" w:hAnsiTheme="minorEastAsia"/>
          <w:color w:val="auto"/>
          <w:kern w:val="0"/>
          <w:sz w:val="24"/>
          <w:szCs w:val="24"/>
        </w:rPr>
      </w:pPr>
    </w:p>
    <w:p>
      <w:pPr>
        <w:ind w:firstLine="3575" w:firstLineChars="1319"/>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交货清单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生产厂家</w:t>
            </w:r>
          </w:p>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bl>
    <w:p>
      <w:pPr>
        <w:rPr>
          <w:rFonts w:ascii="Times New Roman" w:hAnsi="Times New Roman" w:eastAsia="宋体" w:cs="Times New Roman"/>
          <w:snapToGrid w:val="0"/>
          <w:color w:val="auto"/>
          <w:kern w:val="0"/>
          <w:sz w:val="24"/>
          <w:szCs w:val="24"/>
        </w:rPr>
      </w:pPr>
    </w:p>
    <w:p>
      <w:pPr>
        <w:autoSpaceDE w:val="0"/>
        <w:autoSpaceDN w:val="0"/>
        <w:adjustRightInd w:val="0"/>
        <w:rPr>
          <w:rFonts w:ascii="Times New Roman" w:hAnsi="Times New Roman" w:eastAsia="宋体" w:cs="Times New Roman"/>
          <w:snapToGrid w:val="0"/>
          <w:color w:val="auto"/>
          <w:kern w:val="0"/>
          <w:sz w:val="24"/>
          <w:szCs w:val="24"/>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ascii="黑体" w:hAnsi="黑体" w:eastAsia="黑体" w:cs="Times New Roman"/>
          <w:color w:val="auto"/>
          <w:kern w:val="0"/>
          <w:sz w:val="32"/>
          <w:szCs w:val="32"/>
        </w:rPr>
      </w:pPr>
      <w:r>
        <w:rPr>
          <w:rFonts w:hint="eastAsia" w:cs="宋体" w:asciiTheme="minorEastAsia" w:hAnsiTheme="minorEastAsia"/>
          <w:color w:val="auto"/>
          <w:kern w:val="0"/>
          <w:sz w:val="28"/>
          <w:szCs w:val="28"/>
          <w:lang w:val="zh-CN"/>
        </w:rPr>
        <w:t>年  月  日</w:t>
      </w:r>
      <w:r>
        <w:rPr>
          <w:rFonts w:ascii="Times New Roman" w:hAnsi="Times New Roman" w:eastAsia="宋体" w:cs="Times New Roman"/>
          <w:snapToGrid w:val="0"/>
          <w:color w:val="auto"/>
          <w:kern w:val="0"/>
          <w:sz w:val="28"/>
          <w:szCs w:val="28"/>
          <w:lang w:val="zh-CN"/>
        </w:rPr>
        <w:br w:type="page"/>
      </w:r>
      <w:r>
        <w:rPr>
          <w:rFonts w:hint="eastAsia" w:ascii="黑体" w:hAnsi="黑体" w:eastAsia="黑体" w:cs="Times New Roman"/>
          <w:color w:val="auto"/>
          <w:kern w:val="0"/>
          <w:sz w:val="32"/>
          <w:szCs w:val="32"/>
        </w:rPr>
        <w:t>附件9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易损易耗件清单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易损易耗件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仿宋_GB2312" w:hAnsi="宋体" w:eastAsia="仿宋_GB2312" w:cs="宋体"/>
          <w:color w:val="auto"/>
          <w:kern w:val="0"/>
          <w:sz w:val="32"/>
          <w:szCs w:val="32"/>
          <w:lang w:val="zh-CN"/>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专机配套耗材（试剂）明细表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报价</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注：专机配套耗材（试剂）报价将视情纳入计算经济分</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报价方售后服务承诺</w:t>
      </w:r>
    </w:p>
    <w:p>
      <w:pPr>
        <w:spacing w:line="440" w:lineRule="exact"/>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宋体"/>
          <w:color w:val="auto"/>
          <w:sz w:val="28"/>
          <w:szCs w:val="28"/>
          <w:lang w:val="zh-CN"/>
        </w:rPr>
        <w:t>承诺内容</w:t>
      </w:r>
      <w:r>
        <w:rPr>
          <w:rFonts w:ascii="宋体" w:hAnsi="宋体" w:eastAsia="宋体" w:cs="Times New Roman"/>
          <w:color w:val="auto"/>
          <w:sz w:val="28"/>
          <w:szCs w:val="28"/>
          <w:lang w:val="zh-CN"/>
        </w:rPr>
        <w:t>由</w:t>
      </w:r>
      <w:r>
        <w:rPr>
          <w:rFonts w:hint="eastAsia" w:cs="Times New Roman" w:asciiTheme="minorEastAsia" w:hAnsiTheme="minorEastAsia"/>
          <w:color w:val="auto"/>
          <w:kern w:val="0"/>
          <w:sz w:val="28"/>
          <w:szCs w:val="28"/>
          <w:lang w:val="zh-CN"/>
        </w:rPr>
        <w:t>报价方对照商务评审表中售后服务评审项自行编制，</w:t>
      </w:r>
      <w:r>
        <w:rPr>
          <w:rFonts w:hint="eastAsia" w:ascii="宋体" w:hAnsi="宋体" w:eastAsia="宋体" w:cs="Times New Roman"/>
          <w:color w:val="auto"/>
          <w:sz w:val="28"/>
          <w:szCs w:val="28"/>
          <w:lang w:val="zh-CN"/>
        </w:rPr>
        <w:t>应包括但不限于如下内容</w:t>
      </w:r>
      <w:r>
        <w:rPr>
          <w:rFonts w:hint="eastAsia" w:cs="Times New Roman" w:asciiTheme="minorEastAsia" w:hAnsiTheme="minorEastAsia"/>
          <w:color w:val="auto"/>
          <w:kern w:val="0"/>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对</w:t>
      </w:r>
      <w:r>
        <w:rPr>
          <w:rFonts w:ascii="宋体" w:hAnsi="宋体" w:eastAsia="宋体" w:cs="Times New Roman"/>
          <w:color w:val="auto"/>
          <w:sz w:val="28"/>
          <w:szCs w:val="28"/>
          <w:lang w:val="zh-CN"/>
        </w:rPr>
        <w:t>本《</w:t>
      </w:r>
      <w:r>
        <w:rPr>
          <w:rFonts w:hint="eastAsia" w:ascii="宋体" w:hAnsi="宋体" w:eastAsia="宋体" w:cs="Times New Roman"/>
          <w:color w:val="auto"/>
          <w:sz w:val="28"/>
          <w:szCs w:val="28"/>
          <w:lang w:val="zh-CN"/>
        </w:rPr>
        <w:t>谈判</w:t>
      </w:r>
      <w:r>
        <w:rPr>
          <w:rFonts w:ascii="宋体" w:hAnsi="宋体" w:eastAsia="宋体" w:cs="Times New Roman"/>
          <w:color w:val="auto"/>
          <w:sz w:val="28"/>
          <w:szCs w:val="28"/>
          <w:lang w:val="zh-CN"/>
        </w:rPr>
        <w:t>文件》“第二部分</w:t>
      </w:r>
      <w:r>
        <w:rPr>
          <w:rFonts w:hint="eastAsia" w:ascii="宋体" w:hAnsi="宋体" w:eastAsia="宋体" w:cs="Times New Roman"/>
          <w:color w:val="auto"/>
          <w:sz w:val="28"/>
          <w:szCs w:val="28"/>
          <w:lang w:val="zh-CN"/>
        </w:rPr>
        <w:t xml:space="preserve">  采购项目技术和商务要求</w:t>
      </w:r>
      <w:r>
        <w:rPr>
          <w:rFonts w:ascii="宋体" w:hAnsi="宋体" w:eastAsia="宋体" w:cs="Times New Roman"/>
          <w:color w:val="auto"/>
          <w:sz w:val="28"/>
          <w:szCs w:val="28"/>
          <w:lang w:val="zh-CN"/>
        </w:rPr>
        <w:t>/</w:t>
      </w:r>
      <w:r>
        <w:rPr>
          <w:rFonts w:hint="eastAsia" w:ascii="宋体" w:hAnsi="宋体" w:eastAsia="宋体" w:cs="Times New Roman"/>
          <w:color w:val="auto"/>
          <w:sz w:val="28"/>
          <w:szCs w:val="28"/>
          <w:lang w:val="zh-CN"/>
        </w:rPr>
        <w:t xml:space="preserve"> 二、商务要求/（二）售后</w:t>
      </w:r>
      <w:r>
        <w:rPr>
          <w:rFonts w:ascii="宋体" w:hAnsi="宋体" w:eastAsia="宋体" w:cs="Times New Roman"/>
          <w:color w:val="auto"/>
          <w:sz w:val="28"/>
          <w:szCs w:val="28"/>
          <w:lang w:val="zh-CN"/>
        </w:rPr>
        <w:t>服务”的内容进行完整</w:t>
      </w:r>
      <w:r>
        <w:rPr>
          <w:rFonts w:hint="eastAsia" w:ascii="宋体" w:hAnsi="宋体" w:eastAsia="宋体" w:cs="Times New Roman"/>
          <w:color w:val="auto"/>
          <w:sz w:val="28"/>
          <w:szCs w:val="28"/>
          <w:lang w:val="zh-CN"/>
        </w:rPr>
        <w:t>的说明与</w:t>
      </w:r>
      <w:r>
        <w:rPr>
          <w:rFonts w:ascii="宋体" w:hAnsi="宋体" w:eastAsia="宋体" w:cs="Times New Roman"/>
          <w:color w:val="auto"/>
          <w:sz w:val="28"/>
          <w:szCs w:val="28"/>
          <w:lang w:val="zh-CN"/>
        </w:rPr>
        <w:t>承诺。</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对提供指定地点（</w:t>
      </w:r>
      <w:r>
        <w:rPr>
          <w:rFonts w:hint="eastAsia" w:asciiTheme="minorEastAsia" w:hAnsiTheme="minorEastAsia"/>
          <w:b/>
          <w:color w:val="auto"/>
          <w:sz w:val="28"/>
          <w:szCs w:val="28"/>
        </w:rPr>
        <w:t>重庆市</w:t>
      </w:r>
      <w:r>
        <w:rPr>
          <w:rFonts w:hint="eastAsia" w:ascii="宋体" w:hAnsi="宋体" w:eastAsia="宋体" w:cs="Times New Roman"/>
          <w:color w:val="auto"/>
          <w:sz w:val="28"/>
          <w:szCs w:val="28"/>
        </w:rPr>
        <w:t>）现场服务支持的售后服务体系、人员、装备，以及售后服务</w:t>
      </w:r>
      <w:r>
        <w:rPr>
          <w:rFonts w:hint="eastAsia" w:ascii="宋体" w:hAnsi="宋体" w:eastAsia="宋体" w:cs="Times New Roman"/>
          <w:b/>
          <w:color w:val="auto"/>
          <w:sz w:val="28"/>
          <w:szCs w:val="28"/>
        </w:rPr>
        <w:t>到位维修响应时间</w:t>
      </w:r>
      <w:r>
        <w:rPr>
          <w:rFonts w:hint="eastAsia" w:ascii="宋体" w:hAnsi="宋体" w:eastAsia="宋体" w:cs="Times New Roman"/>
          <w:color w:val="auto"/>
          <w:sz w:val="28"/>
          <w:szCs w:val="28"/>
        </w:rPr>
        <w:t>等的</w:t>
      </w:r>
      <w:r>
        <w:rPr>
          <w:rFonts w:hint="eastAsia" w:ascii="宋体" w:hAnsi="宋体" w:eastAsia="宋体" w:cs="Times New Roman"/>
          <w:color w:val="auto"/>
          <w:sz w:val="28"/>
          <w:szCs w:val="28"/>
          <w:lang w:val="zh-CN"/>
        </w:rPr>
        <w:t>说明与</w:t>
      </w:r>
      <w:r>
        <w:rPr>
          <w:rFonts w:ascii="宋体" w:hAnsi="宋体" w:eastAsia="宋体" w:cs="Times New Roman"/>
          <w:color w:val="auto"/>
          <w:sz w:val="28"/>
          <w:szCs w:val="28"/>
          <w:lang w:val="zh-CN"/>
        </w:rPr>
        <w:t>承诺</w:t>
      </w:r>
      <w:r>
        <w:rPr>
          <w:rFonts w:hint="eastAsia" w:ascii="宋体" w:hAnsi="宋体" w:eastAsia="宋体" w:cs="Times New Roman"/>
          <w:color w:val="auto"/>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分布情况的说明（提供</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的地址、</w:t>
      </w:r>
      <w:r>
        <w:rPr>
          <w:rFonts w:ascii="宋体" w:hAnsi="宋体" w:eastAsia="宋体" w:cs="Times New Roman"/>
          <w:color w:val="auto"/>
          <w:sz w:val="28"/>
          <w:szCs w:val="28"/>
        </w:rPr>
        <w:t>24小时服务支持热线</w:t>
      </w:r>
      <w:r>
        <w:rPr>
          <w:rFonts w:hint="eastAsia" w:ascii="宋体" w:hAnsi="宋体" w:eastAsia="宋体" w:cs="Times New Roman"/>
          <w:color w:val="auto"/>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对所报货物在质量保修期内和质量保修期外的相关服务内容做出的</w:t>
      </w:r>
      <w:r>
        <w:rPr>
          <w:rFonts w:hint="eastAsia" w:ascii="宋体" w:hAnsi="宋体" w:eastAsia="宋体" w:cs="Times New Roman"/>
          <w:color w:val="auto"/>
          <w:sz w:val="28"/>
          <w:szCs w:val="28"/>
          <w:lang w:val="zh-CN"/>
        </w:rPr>
        <w:t>说明与承诺</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保修期外维修费用</w:t>
      </w:r>
      <w:r>
        <w:rPr>
          <w:rFonts w:hint="eastAsia" w:ascii="宋体" w:hAnsi="宋体" w:eastAsia="宋体" w:cs="Times New Roman"/>
          <w:b/>
          <w:color w:val="auto"/>
          <w:sz w:val="28"/>
          <w:szCs w:val="28"/>
        </w:rPr>
        <w:t>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提供零配件全国统一报价</w:t>
      </w:r>
      <w:r>
        <w:rPr>
          <w:rFonts w:hint="eastAsia" w:ascii="宋体" w:hAnsi="宋体" w:eastAsia="宋体" w:cs="Times New Roman"/>
          <w:b/>
          <w:color w:val="auto"/>
          <w:sz w:val="28"/>
          <w:szCs w:val="28"/>
        </w:rPr>
        <w:t>情况，并作</w:t>
      </w:r>
      <w:r>
        <w:rPr>
          <w:rFonts w:ascii="宋体" w:hAnsi="宋体" w:eastAsia="宋体" w:cs="Times New Roman"/>
          <w:b/>
          <w:color w:val="auto"/>
          <w:sz w:val="28"/>
          <w:szCs w:val="28"/>
        </w:rPr>
        <w:t>军队用户更换配件价格统一报价</w:t>
      </w:r>
      <w:r>
        <w:rPr>
          <w:rFonts w:hint="eastAsia" w:ascii="宋体" w:hAnsi="宋体" w:eastAsia="宋体" w:cs="Times New Roman"/>
          <w:b/>
          <w:color w:val="auto"/>
          <w:sz w:val="28"/>
          <w:szCs w:val="28"/>
        </w:rPr>
        <w:t>、</w:t>
      </w:r>
      <w:r>
        <w:rPr>
          <w:rFonts w:ascii="宋体" w:hAnsi="宋体" w:eastAsia="宋体" w:cs="Times New Roman"/>
          <w:b/>
          <w:color w:val="auto"/>
          <w:sz w:val="28"/>
          <w:szCs w:val="28"/>
        </w:rPr>
        <w:t>零配件保证供应时间的</w:t>
      </w:r>
      <w:r>
        <w:rPr>
          <w:rFonts w:hint="eastAsia" w:ascii="宋体" w:hAnsi="宋体" w:eastAsia="宋体" w:cs="Times New Roman"/>
          <w:b/>
          <w:color w:val="auto"/>
          <w:sz w:val="28"/>
          <w:szCs w:val="28"/>
        </w:rPr>
        <w:t>承诺说明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对所报货物的备品备件和易损易耗件供应保障情况进行说明（如果某设备无备品备件和易损易耗件，也需明确“</w:t>
      </w:r>
      <w:r>
        <w:rPr>
          <w:rFonts w:ascii="宋体" w:hAnsi="宋体" w:eastAsia="宋体" w:cs="Times New Roman"/>
          <w:b/>
          <w:color w:val="auto"/>
          <w:sz w:val="28"/>
          <w:szCs w:val="28"/>
        </w:rPr>
        <w:t>×</w:t>
      </w:r>
      <w:r>
        <w:rPr>
          <w:rFonts w:hint="eastAsia" w:ascii="宋体" w:hAnsi="宋体" w:eastAsia="宋体" w:cs="Times New Roman"/>
          <w:color w:val="auto"/>
          <w:sz w:val="28"/>
          <w:szCs w:val="28"/>
        </w:rPr>
        <w:t>设备无备品备件和易损易耗件”）。</w:t>
      </w:r>
    </w:p>
    <w:p>
      <w:pPr>
        <w:spacing w:line="440" w:lineRule="exact"/>
        <w:rPr>
          <w:rFonts w:cs="Times New Roman" w:asciiTheme="minorEastAsia" w:hAnsiTheme="minorEastAsia"/>
          <w:color w:val="auto"/>
          <w:kern w:val="0"/>
          <w:sz w:val="28"/>
          <w:szCs w:val="28"/>
          <w:lang w:val="zh-CN"/>
        </w:rPr>
      </w:pPr>
      <w:r>
        <w:rPr>
          <w:rFonts w:ascii="宋体" w:hAnsi="宋体" w:eastAsia="宋体" w:cs="Times New Roman"/>
          <w:color w:val="auto"/>
          <w:sz w:val="28"/>
          <w:szCs w:val="28"/>
        </w:rPr>
        <w:t>其他服务承诺</w:t>
      </w:r>
      <w:r>
        <w:rPr>
          <w:rFonts w:hint="eastAsia" w:ascii="宋体" w:hAnsi="宋体" w:eastAsia="宋体" w:cs="Times New Roman"/>
          <w:color w:val="auto"/>
          <w:sz w:val="28"/>
          <w:szCs w:val="28"/>
        </w:rPr>
        <w:t>（</w:t>
      </w:r>
      <w:r>
        <w:rPr>
          <w:rFonts w:hint="eastAsia" w:ascii="宋体" w:hAnsi="宋体" w:eastAsia="宋体" w:cs="Times New Roman"/>
          <w:b/>
          <w:color w:val="auto"/>
          <w:sz w:val="28"/>
          <w:szCs w:val="28"/>
        </w:rPr>
        <w:t>逐一核对评分标准内涉及的售后服务进行响应和承诺）</w:t>
      </w:r>
      <w:r>
        <w:rPr>
          <w:rFonts w:ascii="宋体" w:hAnsi="宋体" w:eastAsia="宋体" w:cs="Times New Roman"/>
          <w:color w:val="auto"/>
          <w:sz w:val="28"/>
          <w:szCs w:val="28"/>
        </w:rPr>
        <w:t>。</w:t>
      </w:r>
    </w:p>
    <w:p>
      <w:pPr>
        <w:spacing w:line="440" w:lineRule="exact"/>
        <w:ind w:firstLine="1626" w:firstLineChars="600"/>
        <w:rPr>
          <w:rFonts w:cs="宋体" w:asciiTheme="minorEastAsia" w:hAnsiTheme="minorEastAsia"/>
          <w:color w:val="auto"/>
          <w:kern w:val="0"/>
          <w:sz w:val="28"/>
          <w:szCs w:val="28"/>
          <w:lang w:val="zh-CN"/>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2</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生产厂家售后服务承诺</w:t>
      </w:r>
    </w:p>
    <w:p>
      <w:pPr>
        <w:ind w:firstLine="542" w:firstLineChars="200"/>
        <w:rPr>
          <w:rFonts w:ascii="Times New Roman" w:hAnsi="Times New Roman" w:eastAsia="宋体" w:cs="Times New Roman"/>
          <w:snapToGrid w:val="0"/>
          <w:color w:val="auto"/>
          <w:kern w:val="0"/>
          <w:sz w:val="28"/>
          <w:szCs w:val="28"/>
          <w:lang w:val="zh-CN"/>
        </w:rPr>
      </w:pPr>
    </w:p>
    <w:p>
      <w:pPr>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Times New Roman"/>
          <w:color w:val="auto"/>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color w:val="auto"/>
          <w:kern w:val="0"/>
          <w:sz w:val="28"/>
          <w:szCs w:val="28"/>
        </w:rPr>
        <w:t>零配件全国统一报价</w:t>
      </w:r>
      <w:r>
        <w:rPr>
          <w:rFonts w:hint="eastAsia" w:ascii="宋体" w:hAnsi="宋体" w:eastAsia="宋体" w:cs="Times New Roman"/>
          <w:color w:val="auto"/>
          <w:kern w:val="0"/>
          <w:sz w:val="28"/>
          <w:szCs w:val="28"/>
          <w:lang w:val="zh-CN"/>
        </w:rPr>
        <w:t>等内容</w:t>
      </w:r>
      <w:r>
        <w:rPr>
          <w:rFonts w:hint="eastAsia" w:cs="Times New Roman" w:asciiTheme="minorEastAsia" w:hAnsiTheme="minorEastAsia"/>
          <w:color w:val="auto"/>
          <w:kern w:val="0"/>
          <w:sz w:val="28"/>
          <w:szCs w:val="28"/>
          <w:lang w:val="zh-CN"/>
        </w:rPr>
        <w:t>）</w:t>
      </w: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32"/>
          <w:szCs w:val="32"/>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生产厂家全称：（盖章）</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3</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近3年成交案例及同类项目案例</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项目内容</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签订</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用户联系</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r>
              <w:rPr>
                <w:rFonts w:hint="eastAsia" w:cs="Times New Roman" w:asciiTheme="minorEastAsia" w:hAnsiTheme="minorEastAsia"/>
                <w:color w:val="auto"/>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bl>
    <w:p>
      <w:pPr>
        <w:ind w:left="924" w:hanging="924" w:hangingChars="4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3.报价方提供虚假合同的，按虚假响应处理。</w:t>
      </w:r>
    </w:p>
    <w:p>
      <w:pPr>
        <w:ind w:left="918" w:leftChars="342" w:hanging="231" w:hangingChars="100"/>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4.需提供三甲医院或高等科研院所销售合同，其他视为无效合同。</w:t>
      </w:r>
    </w:p>
    <w:p>
      <w:pPr>
        <w:rPr>
          <w:rFonts w:ascii="Times New Roman" w:hAnsi="Times New Roman" w:eastAsia="宋体" w:cs="Times New Roman"/>
          <w:color w:val="auto"/>
          <w:kern w:val="0"/>
          <w:sz w:val="28"/>
          <w:szCs w:val="28"/>
          <w:lang w:val="zh-CN"/>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附件14</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技术评审表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asciiTheme="minorEastAsia" w:hAnsiTheme="minorEastAsia"/>
                <w:b/>
                <w:color w:val="auto"/>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inorEastAsia" w:hAnsiTheme="minorEastAsia"/>
                <w:color w:val="auto"/>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附件15</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商务评审表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银行颁发的资信（信用）</w:t>
            </w:r>
          </w:p>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财务状况（</w:t>
            </w:r>
            <w:r>
              <w:rPr>
                <w:rFonts w:hint="eastAsia" w:asciiTheme="majorEastAsia" w:hAnsiTheme="majorEastAsia" w:eastAsiaTheme="majorEastAsia"/>
                <w:color w:val="auto"/>
                <w:sz w:val="24"/>
                <w:szCs w:val="24"/>
              </w:rPr>
              <w:t>平均净利润</w:t>
            </w:r>
            <w:r>
              <w:rPr>
                <w:rFonts w:hint="eastAsia" w:cs="宋体" w:asciiTheme="majorEastAsia" w:hAnsiTheme="majorEastAsia" w:eastAsiaTheme="majorEastAsia"/>
                <w:b/>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jc w:val="left"/>
        <w:rPr>
          <w:rFonts w:cs="Times New Roman" w:asciiTheme="minorEastAsia" w:hAnsiTheme="minorEastAsia"/>
          <w:color w:val="auto"/>
          <w:kern w:val="0"/>
          <w:szCs w:val="21"/>
        </w:rPr>
      </w:pPr>
    </w:p>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adjustRightInd w:val="0"/>
        <w:snapToGrid w:val="0"/>
        <w:jc w:val="left"/>
        <w:rPr>
          <w:rFonts w:cs="Times New Roman" w:asciiTheme="minorEastAsia" w:hAnsiTheme="minorEastAsia"/>
          <w:color w:val="auto"/>
          <w:kern w:val="0"/>
          <w:szCs w:val="21"/>
        </w:rPr>
      </w:pPr>
      <w:r>
        <w:rPr>
          <w:rFonts w:cs="Times New Roman" w:asciiTheme="minorEastAsia" w:hAnsiTheme="minorEastAsia"/>
          <w:color w:val="auto"/>
          <w:kern w:val="0"/>
          <w:szCs w:val="21"/>
        </w:rPr>
        <w:br w:type="page"/>
      </w:r>
    </w:p>
    <w:p>
      <w:pPr>
        <w:rPr>
          <w:rFonts w:ascii="仿宋_GB2312" w:hAnsi="Times New Roman" w:eastAsia="仿宋_GB2312" w:cs="Times New Roman"/>
          <w:color w:val="auto"/>
          <w:kern w:val="0"/>
          <w:sz w:val="32"/>
          <w:szCs w:val="32"/>
        </w:rPr>
      </w:pPr>
      <w:r>
        <w:rPr>
          <w:rFonts w:hint="eastAsia" w:ascii="黑体" w:hAnsi="黑体" w:eastAsia="黑体" w:cs="Times New Roman"/>
          <w:color w:val="auto"/>
          <w:kern w:val="0"/>
          <w:sz w:val="32"/>
          <w:szCs w:val="32"/>
        </w:rPr>
        <w:t xml:space="preserve">附件16                               </w:t>
      </w:r>
      <w:r>
        <w:rPr>
          <w:rFonts w:ascii="仿宋_GB2312" w:hAnsi="Times New Roman" w:eastAsia="仿宋_GB2312" w:cs="Times New Roman"/>
          <w:color w:val="auto"/>
          <w:kern w:val="0"/>
          <w:sz w:val="32"/>
          <w:szCs w:val="32"/>
        </w:rPr>
        <w:t xml:space="preserve">    </w:t>
      </w:r>
    </w:p>
    <w:p>
      <w:pPr>
        <w:jc w:val="center"/>
        <w:rPr>
          <w:rFonts w:ascii="Times New Roman" w:hAnsi="Times New Roman" w:eastAsia="方正小标宋简体" w:cs="Times New Roman"/>
          <w:bCs/>
          <w:color w:val="auto"/>
          <w:sz w:val="32"/>
          <w:szCs w:val="32"/>
        </w:rPr>
      </w:pPr>
      <w:r>
        <w:rPr>
          <w:rFonts w:ascii="Times New Roman" w:hAnsi="Times New Roman" w:eastAsia="方正小标宋简体" w:cs="Times New Roman"/>
          <w:bCs/>
          <w:color w:val="auto"/>
          <w:sz w:val="32"/>
          <w:szCs w:val="32"/>
        </w:rPr>
        <w:t>法定代表人资格证明书</w:t>
      </w:r>
    </w:p>
    <w:p>
      <w:pPr>
        <w:ind w:firstLine="542" w:firstLineChars="200"/>
        <w:rPr>
          <w:rFonts w:ascii="Times New Roman" w:hAnsi="Times New Roman" w:eastAsia="楷体_GB2312" w:cs="Times New Roman"/>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u w:val="single"/>
        </w:rPr>
        <w:t>（法定代表人姓名）</w:t>
      </w:r>
      <w:r>
        <w:rPr>
          <w:rFonts w:hint="eastAsia" w:cs="Times New Roman" w:asciiTheme="minorEastAsia" w:hAnsiTheme="minorEastAsia"/>
          <w:color w:val="auto"/>
          <w:sz w:val="28"/>
          <w:szCs w:val="28"/>
        </w:rPr>
        <w:t>系</w:t>
      </w:r>
      <w:r>
        <w:rPr>
          <w:rFonts w:hint="eastAsia" w:cs="Times New Roman" w:asciiTheme="minorEastAsia" w:hAnsiTheme="minorEastAsia"/>
          <w:color w:val="auto"/>
          <w:sz w:val="28"/>
          <w:szCs w:val="28"/>
          <w:u w:val="single"/>
        </w:rPr>
        <w:t>（报价方全称）</w:t>
      </w:r>
      <w:r>
        <w:rPr>
          <w:rFonts w:hint="eastAsia" w:cs="Times New Roman" w:asciiTheme="minorEastAsia" w:hAnsiTheme="minorEastAsia"/>
          <w:color w:val="auto"/>
          <w:sz w:val="28"/>
          <w:szCs w:val="28"/>
        </w:rPr>
        <w:t>的法定代表人。</w:t>
      </w:r>
    </w:p>
    <w:p>
      <w:pPr>
        <w:ind w:firstLine="542" w:firstLineChars="200"/>
        <w:rPr>
          <w:rFonts w:cs="Times New Roman" w:asciiTheme="minorEastAsia" w:hAnsiTheme="minorEastAsia"/>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rPr>
        <w:t>特此证明</w:t>
      </w:r>
    </w:p>
    <w:p>
      <w:pPr>
        <w:rPr>
          <w:rFonts w:cs="Times New Roman" w:asciiTheme="minorEastAsia" w:hAnsiTheme="minorEastAsia"/>
          <w:color w:val="auto"/>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59264;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ind w:firstLine="4743" w:firstLineChars="1750"/>
        <w:rPr>
          <w:rFonts w:cs="Times New Roman" w:asciiTheme="minorEastAsia" w:hAnsiTheme="minorEastAsia"/>
          <w:color w:val="auto"/>
          <w:sz w:val="28"/>
          <w:szCs w:val="28"/>
        </w:rPr>
      </w:pPr>
    </w:p>
    <w:p>
      <w:pPr>
        <w:rPr>
          <w:rFonts w:cs="Times New Roman" w:asciiTheme="minorEastAsia" w:hAnsiTheme="minorEastAsia"/>
          <w:color w:val="auto"/>
          <w:kern w:val="0"/>
          <w:sz w:val="28"/>
          <w:szCs w:val="28"/>
        </w:rPr>
      </w:pPr>
    </w:p>
    <w:p>
      <w:pPr>
        <w:ind w:firstLine="4743" w:firstLineChars="175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（签字或盖章）</w:t>
      </w:r>
    </w:p>
    <w:p>
      <w:pPr>
        <w:ind w:firstLine="3851" w:firstLineChars="1421"/>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ascii="Times New Roman" w:hAnsi="Times New Roman" w:eastAsia="黑体" w:cs="Times New Roman"/>
          <w:color w:val="auto"/>
          <w:kern w:val="0"/>
          <w:sz w:val="24"/>
          <w:szCs w:val="24"/>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7</w:t>
      </w:r>
    </w:p>
    <w:p>
      <w:pPr>
        <w:jc w:val="center"/>
        <w:rPr>
          <w:rFonts w:ascii="Times New Roman" w:hAnsi="Times New Roman" w:eastAsia="方正小标宋简体" w:cs="Times New Roman"/>
          <w:bCs/>
          <w:color w:val="auto"/>
          <w:sz w:val="32"/>
          <w:szCs w:val="32"/>
        </w:rPr>
      </w:pPr>
      <w:r>
        <w:rPr>
          <w:rFonts w:hint="eastAsia" w:ascii="Times New Roman" w:hAnsi="Times New Roman" w:eastAsia="方正小标宋简体" w:cs="Times New Roman"/>
          <w:bCs/>
          <w:color w:val="auto"/>
          <w:sz w:val="32"/>
          <w:szCs w:val="32"/>
        </w:rPr>
        <w:t>法定代表人授权书</w:t>
      </w:r>
    </w:p>
    <w:p>
      <w:pPr>
        <w:rPr>
          <w:rFonts w:ascii="Times New Roman" w:hAnsi="Times New Roman" w:eastAsia="宋体" w:cs="Times New Roman"/>
          <w:color w:val="auto"/>
          <w:kern w:val="0"/>
          <w:sz w:val="28"/>
          <w:szCs w:val="28"/>
        </w:rPr>
      </w:pP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u w:val="single"/>
        </w:rPr>
        <w:t>（报价方全称）</w:t>
      </w:r>
      <w:r>
        <w:rPr>
          <w:rFonts w:hint="eastAsia" w:cs="Times New Roman" w:asciiTheme="minorEastAsia" w:hAnsiTheme="minorEastAsia"/>
          <w:color w:val="auto"/>
          <w:kern w:val="0"/>
          <w:sz w:val="28"/>
          <w:szCs w:val="28"/>
        </w:rPr>
        <w:t>法定代表人</w:t>
      </w:r>
      <w:r>
        <w:rPr>
          <w:rFonts w:hint="eastAsia" w:cs="Times New Roman" w:asciiTheme="minorEastAsia" w:hAnsiTheme="minorEastAsia"/>
          <w:color w:val="auto"/>
          <w:kern w:val="0"/>
          <w:sz w:val="28"/>
          <w:szCs w:val="28"/>
          <w:u w:val="single"/>
        </w:rPr>
        <w:t>（姓名、职务）</w:t>
      </w:r>
      <w:r>
        <w:rPr>
          <w:rFonts w:hint="eastAsia" w:cs="Times New Roman" w:asciiTheme="minorEastAsia" w:hAnsiTheme="minorEastAsia"/>
          <w:color w:val="auto"/>
          <w:kern w:val="0"/>
          <w:sz w:val="28"/>
          <w:szCs w:val="28"/>
        </w:rPr>
        <w:t xml:space="preserve"> 授权</w:t>
      </w:r>
      <w:r>
        <w:rPr>
          <w:rFonts w:hint="eastAsia" w:cs="Times New Roman" w:asciiTheme="minorEastAsia" w:hAnsiTheme="minorEastAsia"/>
          <w:color w:val="auto"/>
          <w:kern w:val="0"/>
          <w:sz w:val="28"/>
          <w:szCs w:val="28"/>
          <w:u w:val="single"/>
        </w:rPr>
        <w:t>（授权代表姓名、职务）</w:t>
      </w:r>
      <w:r>
        <w:rPr>
          <w:rFonts w:hint="eastAsia" w:cs="Times New Roman" w:asciiTheme="minorEastAsia" w:hAnsiTheme="minorEastAsia"/>
          <w:color w:val="auto"/>
          <w:kern w:val="0"/>
          <w:sz w:val="28"/>
          <w:szCs w:val="28"/>
        </w:rPr>
        <w:t>为全权代表，参加贵单位组织的项目编号为</w:t>
      </w:r>
      <w:r>
        <w:rPr>
          <w:rFonts w:hint="eastAsia" w:cs="Times New Roman" w:asciiTheme="minorEastAsia" w:hAnsiTheme="minorEastAsia"/>
          <w:color w:val="auto"/>
          <w:kern w:val="0"/>
          <w:sz w:val="28"/>
          <w:szCs w:val="28"/>
          <w:u w:val="single"/>
        </w:rPr>
        <w:t>（项目编号）</w:t>
      </w:r>
      <w:r>
        <w:rPr>
          <w:rFonts w:hint="eastAsia" w:cs="Times New Roman" w:asciiTheme="minorEastAsia" w:hAnsiTheme="minorEastAsia"/>
          <w:color w:val="auto"/>
          <w:kern w:val="0"/>
          <w:sz w:val="28"/>
          <w:szCs w:val="28"/>
        </w:rPr>
        <w:t>的</w:t>
      </w:r>
      <w:r>
        <w:rPr>
          <w:rFonts w:hint="eastAsia" w:cs="Times New Roman" w:asciiTheme="minorEastAsia" w:hAnsiTheme="minorEastAsia"/>
          <w:color w:val="auto"/>
          <w:kern w:val="0"/>
          <w:sz w:val="28"/>
          <w:szCs w:val="28"/>
          <w:u w:val="single"/>
        </w:rPr>
        <w:t>（项目名称）</w:t>
      </w:r>
      <w:r>
        <w:rPr>
          <w:rFonts w:hint="eastAsia" w:cs="Times New Roman" w:asciiTheme="minorEastAsia" w:hAnsiTheme="minorEastAsia"/>
          <w:color w:val="auto"/>
          <w:kern w:val="0"/>
          <w:sz w:val="28"/>
          <w:szCs w:val="28"/>
        </w:rPr>
        <w:t>采购活动，全权处理采购活动中的一切事宜。</w:t>
      </w:r>
    </w:p>
    <w:p>
      <w:pPr>
        <w:ind w:firstLine="60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（盖章）</w:t>
      </w:r>
    </w:p>
    <w:p>
      <w:pPr>
        <w:ind w:firstLine="3252" w:firstLineChars="1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法定代表人：（签字或盖章）</w:t>
      </w:r>
    </w:p>
    <w:p>
      <w:pPr>
        <w:ind w:firstLine="4648" w:firstLineChars="1715"/>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附：</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授权代表姓名：              </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职    务：              电    话：</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传    真：              邮    编：</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通讯地址：</w:t>
      </w:r>
    </w:p>
    <w:p>
      <w:pPr>
        <w:ind w:firstLine="573"/>
        <w:rPr>
          <w:rFonts w:cs="Times New Roman" w:asciiTheme="minorEastAsia" w:hAnsiTheme="minorEastAsia"/>
          <w:color w:val="auto"/>
          <w:kern w:val="0"/>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1312;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主要股东或出资人信息</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统一社会信用代码</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出资金额</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我方承诺，以上信息真实可靠；如填报的股东出资额、出资比例等与实际不符，视为放弃成交资格。</w:t>
      </w:r>
    </w:p>
    <w:p>
      <w:pPr>
        <w:rPr>
          <w:rFonts w:cs="Times New Roman" w:asciiTheme="minorEastAsia" w:hAnsiTheme="minorEastAsia"/>
          <w:color w:val="auto"/>
          <w:kern w:val="0"/>
          <w:sz w:val="28"/>
          <w:szCs w:val="28"/>
        </w:rPr>
      </w:pPr>
    </w:p>
    <w:p>
      <w:pPr>
        <w:ind w:left="797" w:hanging="797" w:hangingChars="294"/>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2.出资方式填写货币、实物、工艺产权和非专利技术、土地使用权等。</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73"/>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8"/>
          <w:szCs w:val="28"/>
          <w:lang w:val="zh-CN"/>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保密承诺书</w:t>
      </w:r>
    </w:p>
    <w:p>
      <w:pPr>
        <w:rPr>
          <w:rFonts w:ascii="Times New Roman" w:hAnsi="Times New Roman" w:eastAsia="宋体" w:cs="Times New Roman"/>
          <w:color w:val="auto"/>
          <w:kern w:val="0"/>
          <w:sz w:val="32"/>
          <w:szCs w:val="32"/>
        </w:rPr>
      </w:pPr>
    </w:p>
    <w:p>
      <w:pPr>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我方参加贵单位组织的编号为</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color w:val="auto"/>
          <w:kern w:val="0"/>
          <w:sz w:val="28"/>
          <w:szCs w:val="28"/>
        </w:rPr>
      </w:pPr>
    </w:p>
    <w:p>
      <w:pPr>
        <w:ind w:firstLine="1089" w:firstLineChars="402"/>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t xml:space="preserve">                </w:t>
      </w: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廉洁诚信承诺书</w:t>
      </w:r>
    </w:p>
    <w:p>
      <w:pPr>
        <w:autoSpaceDE w:val="0"/>
        <w:autoSpaceDN w:val="0"/>
        <w:adjustRightInd w:val="0"/>
        <w:rPr>
          <w:rFonts w:cs="Times New Roman" w:asciiTheme="minorEastAsia" w:hAnsiTheme="minorEastAsia"/>
          <w:snapToGrid w:val="0"/>
          <w:color w:val="auto"/>
          <w:kern w:val="0"/>
          <w:sz w:val="28"/>
          <w:szCs w:val="28"/>
        </w:rPr>
      </w:pPr>
    </w:p>
    <w:p>
      <w:pPr>
        <w:autoSpaceDE w:val="0"/>
        <w:autoSpaceDN w:val="0"/>
        <w:adjustRightInd w:val="0"/>
        <w:rPr>
          <w:rFonts w:cs="Times New Roman" w:asciiTheme="minorEastAsia" w:hAnsiTheme="minorEastAsia"/>
          <w:color w:val="auto"/>
          <w:kern w:val="0"/>
          <w:sz w:val="28"/>
          <w:szCs w:val="28"/>
          <w:lang w:val="zh-CN"/>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2、</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承诺报价文件中提供的文件资料真实有效</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rPr>
        <w:t>3、</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承诺报价产品价格不得高于国内同级单位最低成交价</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 xml:space="preserve">     </w:t>
      </w: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声明书</w:t>
      </w:r>
    </w:p>
    <w:p>
      <w:pPr>
        <w:rPr>
          <w:rFonts w:ascii="方正小标宋简体" w:hAnsi="Times New Roman" w:eastAsia="方正小标宋简体" w:cs="Times New Roman"/>
          <w:color w:val="auto"/>
          <w:kern w:val="0"/>
          <w:sz w:val="32"/>
          <w:szCs w:val="32"/>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我方参加贵单位组织的</w:t>
      </w:r>
      <w:r>
        <w:rPr>
          <w:rFonts w:hint="eastAsia" w:cs="Times New Roman" w:asciiTheme="minorEastAsia" w:hAnsiTheme="minorEastAsia"/>
          <w:snapToGrid w:val="0"/>
          <w:color w:val="auto"/>
          <w:kern w:val="0"/>
          <w:sz w:val="28"/>
          <w:szCs w:val="28"/>
          <w:u w:val="single"/>
        </w:rPr>
        <w:t xml:space="preserve">  （</w:t>
      </w:r>
      <w:r>
        <w:rPr>
          <w:rFonts w:cs="Times New Roman" w:asciiTheme="minorEastAsia" w:hAnsiTheme="minorEastAsia"/>
          <w:snapToGrid w:val="0"/>
          <w:color w:val="auto"/>
          <w:kern w:val="0"/>
          <w:sz w:val="28"/>
          <w:szCs w:val="28"/>
          <w:u w:val="single"/>
        </w:rPr>
        <w:t>项目名称</w:t>
      </w:r>
      <w:r>
        <w:rPr>
          <w:rFonts w:hint="eastAsia" w:cs="Times New Roman" w:asciiTheme="minorEastAsia" w:hAnsiTheme="minorEastAsia"/>
          <w:snapToGrid w:val="0"/>
          <w:color w:val="auto"/>
          <w:kern w:val="0"/>
          <w:sz w:val="28"/>
          <w:szCs w:val="28"/>
          <w:u w:val="single"/>
        </w:rPr>
        <w:t xml:space="preserve">）  </w:t>
      </w:r>
      <w:r>
        <w:rPr>
          <w:rFonts w:hint="eastAsia" w:cs="Times New Roman" w:asciiTheme="minorEastAsia" w:hAnsiTheme="minorEastAsia"/>
          <w:snapToGrid w:val="0"/>
          <w:color w:val="auto"/>
          <w:kern w:val="0"/>
          <w:sz w:val="28"/>
          <w:szCs w:val="28"/>
        </w:rPr>
        <w:t>项目采购活动，现就有关事项声明如下：</w:t>
      </w:r>
      <w:r>
        <w:rPr>
          <w:rFonts w:cs="Times New Roman" w:asciiTheme="minorEastAsia" w:hAnsiTheme="minorEastAsia"/>
          <w:snapToGrid w:val="0"/>
          <w:color w:val="auto"/>
          <w:kern w:val="0"/>
          <w:sz w:val="28"/>
          <w:szCs w:val="28"/>
        </w:rPr>
        <w:t xml:space="preserve"> </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color w:val="auto"/>
          <w:kern w:val="0"/>
          <w:sz w:val="28"/>
          <w:szCs w:val="28"/>
        </w:rPr>
      </w:pPr>
    </w:p>
    <w:p>
      <w:pPr>
        <w:rPr>
          <w:rFonts w:cs="宋体" w:asciiTheme="minorEastAsia" w:hAnsiTheme="minorEastAsia"/>
          <w:color w:val="auto"/>
          <w:kern w:val="0"/>
          <w:sz w:val="28"/>
          <w:szCs w:val="28"/>
          <w:lang w:val="zh-CN"/>
        </w:rPr>
      </w:pPr>
    </w:p>
    <w:p>
      <w:pPr>
        <w:ind w:firstLine="2290" w:firstLineChars="8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cs="Times New Roman" w:asciiTheme="minorEastAsia" w:hAnsiTheme="minorEastAsia"/>
          <w:snapToGrid w:val="0"/>
          <w:color w:val="auto"/>
          <w:kern w:val="0"/>
          <w:szCs w:val="21"/>
        </w:rPr>
        <w:t>①</w:t>
      </w:r>
      <w:r>
        <w:rPr>
          <w:rFonts w:hint="eastAsia" w:cs="Times New Roman" w:asciiTheme="minorEastAsia" w:hAnsiTheme="minorEastAsia"/>
          <w:snapToGrid w:val="0"/>
          <w:color w:val="auto"/>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⑥有依法缴纳税收和社会保障资金的良好记录。</w:t>
      </w:r>
    </w:p>
    <w:p>
      <w:pPr>
        <w:widowControl/>
        <w:adjustRightInd w:val="0"/>
        <w:snapToGrid w:val="0"/>
        <w:spacing w:line="360" w:lineRule="exact"/>
        <w:jc w:val="left"/>
        <w:rPr>
          <w:rFonts w:ascii="黑体" w:hAnsi="黑体" w:eastAsia="黑体" w:cs="Times New Roman"/>
          <w:color w:val="auto"/>
          <w:kern w:val="0"/>
          <w:szCs w:val="21"/>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附件22</w:t>
      </w:r>
    </w:p>
    <w:p>
      <w:pPr>
        <w:jc w:val="center"/>
        <w:rPr>
          <w:rFonts w:ascii="宋体" w:hAnsi="宋体" w:eastAsia="宋体" w:cs="宋体"/>
          <w:color w:val="auto"/>
          <w:kern w:val="0"/>
          <w:szCs w:val="21"/>
        </w:rPr>
      </w:pPr>
      <w:r>
        <w:rPr>
          <w:rFonts w:hint="eastAsia" w:ascii="方正小标宋简体" w:hAnsi="Times New Roman" w:eastAsia="方正小标宋简体" w:cs="Times New Roman"/>
          <w:color w:val="auto"/>
          <w:kern w:val="0"/>
          <w:sz w:val="32"/>
          <w:szCs w:val="32"/>
        </w:rPr>
        <w:t>生产企业对代理公司参与报价的授权书</w:t>
      </w:r>
    </w:p>
    <w:p>
      <w:pPr>
        <w:jc w:val="center"/>
        <w:rPr>
          <w:rFonts w:ascii="方正小标宋简体" w:hAnsi="Times New Roman" w:eastAsia="方正小标宋简体" w:cs="Times New Roman"/>
          <w:color w:val="auto"/>
          <w:kern w:val="0"/>
          <w:sz w:val="28"/>
          <w:szCs w:val="28"/>
        </w:rPr>
      </w:pPr>
      <w:r>
        <w:rPr>
          <w:rFonts w:hint="eastAsia" w:ascii="方正小标宋简体" w:hAnsi="Times New Roman" w:eastAsia="方正小标宋简体" w:cs="Times New Roman"/>
          <w:color w:val="auto"/>
          <w:kern w:val="0"/>
          <w:sz w:val="28"/>
          <w:szCs w:val="28"/>
        </w:rPr>
        <w:t>（格式不限）</w:t>
      </w:r>
    </w:p>
    <w:p>
      <w:pPr>
        <w:widowControl/>
        <w:jc w:val="lef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1、授权书的格式不限。</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3、生产厂家直接参与报价的不需此文件。</w:t>
      </w:r>
    </w:p>
    <w:p>
      <w:pPr>
        <w:widowControl/>
        <w:jc w:val="left"/>
        <w:rPr>
          <w:rFonts w:ascii="黑体" w:hAnsi="黑体" w:eastAsia="黑体" w:cs="Times New Roman"/>
          <w:color w:val="auto"/>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rPr>
          <w:color w:val="auto"/>
        </w:rPr>
        <w:br w:type="page"/>
      </w:r>
    </w:p>
    <w:p>
      <w:pPr>
        <w:widowControl/>
        <w:jc w:val="left"/>
        <w:rPr>
          <w:color w:val="auto"/>
        </w:rPr>
      </w:pPr>
      <w:r>
        <w:rPr>
          <w:rFonts w:hint="eastAsia" w:ascii="黑体" w:hAnsi="黑体" w:eastAsia="黑体" w:cs="Times New Roman"/>
          <w:color w:val="auto"/>
          <w:kern w:val="0"/>
          <w:sz w:val="32"/>
          <w:szCs w:val="32"/>
        </w:rPr>
        <w:t>附件23    技术指标参数要求明细</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w:t>
      </w:r>
      <w:r>
        <w:rPr>
          <w:rFonts w:hint="eastAsia" w:ascii="方正小标宋简体" w:hAnsi="宋体" w:eastAsia="方正小标宋简体" w:cs="宋体"/>
          <w:bCs/>
          <w:color w:val="auto"/>
          <w:kern w:val="0"/>
          <w:sz w:val="44"/>
          <w:szCs w:val="44"/>
        </w:rPr>
        <w:t>电动助吸器技术</w:t>
      </w:r>
      <w:r>
        <w:rPr>
          <w:rFonts w:hint="eastAsia" w:ascii="方正小标宋简体" w:hAnsi="宋体" w:eastAsia="方正小标宋简体" w:cs="宋体"/>
          <w:bCs/>
          <w:color w:val="auto"/>
          <w:kern w:val="0"/>
          <w:sz w:val="44"/>
          <w:szCs w:val="44"/>
          <w:lang w:eastAsia="zh-CN"/>
        </w:rPr>
        <w:t>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15"/>
        <w:gridCol w:w="4474"/>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1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47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1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474"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47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olor w:val="auto"/>
                <w:sz w:val="21"/>
                <w:szCs w:val="21"/>
              </w:rPr>
              <w:t>用于快速吸取及排出样品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15"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474" w:type="dxa"/>
            <w:shd w:val="clear" w:color="000000" w:fill="auto"/>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1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474" w:type="dxa"/>
            <w:noWrap w:val="0"/>
            <w:vAlign w:val="center"/>
          </w:tcPr>
          <w:p>
            <w:pPr>
              <w:widowControl/>
              <w:spacing w:line="240" w:lineRule="auto"/>
              <w:jc w:val="center"/>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1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474"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3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474" w:type="dxa"/>
            <w:noWrap w:val="0"/>
            <w:vAlign w:val="center"/>
          </w:tcPr>
          <w:p>
            <w:pPr>
              <w:jc w:val="center"/>
              <w:rPr>
                <w:rFonts w:ascii="宋体" w:hAnsi="宋体"/>
                <w:color w:val="auto"/>
                <w:sz w:val="21"/>
                <w:szCs w:val="21"/>
              </w:rPr>
            </w:pPr>
            <w:r>
              <w:rPr>
                <w:rFonts w:hint="eastAsia" w:ascii="宋体" w:hAnsi="宋体" w:cs="宋体"/>
                <w:color w:val="auto"/>
                <w:kern w:val="0"/>
                <w:sz w:val="21"/>
                <w:szCs w:val="21"/>
                <w:lang w:bidi="ar"/>
              </w:rPr>
              <w:t>适用于 0.1-100 ml 体积范围的移液管</w:t>
            </w:r>
          </w:p>
        </w:tc>
        <w:tc>
          <w:tcPr>
            <w:tcW w:w="1380" w:type="dxa"/>
            <w:noWrap w:val="0"/>
            <w:vAlign w:val="center"/>
          </w:tcPr>
          <w:p>
            <w:pPr>
              <w:widowControl/>
              <w:spacing w:line="240" w:lineRule="auto"/>
              <w:jc w:val="center"/>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474" w:type="dxa"/>
            <w:noWrap w:val="0"/>
            <w:vAlign w:val="center"/>
          </w:tcPr>
          <w:p>
            <w:pPr>
              <w:jc w:val="center"/>
              <w:rPr>
                <w:rFonts w:hint="eastAsia" w:ascii="宋体" w:hAnsi="宋体"/>
                <w:color w:val="auto"/>
                <w:sz w:val="21"/>
                <w:szCs w:val="21"/>
              </w:rPr>
            </w:pPr>
            <w:r>
              <w:rPr>
                <w:rFonts w:hint="eastAsia" w:ascii="宋体" w:hAnsi="宋体"/>
                <w:color w:val="auto"/>
                <w:sz w:val="21"/>
                <w:szCs w:val="21"/>
              </w:rPr>
              <w:t>最高</w:t>
            </w:r>
            <w:r>
              <w:rPr>
                <w:rFonts w:ascii="宋体" w:hAnsi="宋体"/>
                <w:color w:val="auto"/>
                <w:sz w:val="21"/>
                <w:szCs w:val="21"/>
              </w:rPr>
              <w:t>吸液速度</w:t>
            </w:r>
            <w:r>
              <w:rPr>
                <w:rFonts w:hint="eastAsia" w:ascii="宋体" w:hAnsi="宋体"/>
                <w:color w:val="auto"/>
                <w:sz w:val="21"/>
                <w:szCs w:val="21"/>
              </w:rPr>
              <w:t>≥</w:t>
            </w:r>
            <w:r>
              <w:rPr>
                <w:rFonts w:ascii="宋体" w:hAnsi="宋体"/>
                <w:color w:val="auto"/>
                <w:sz w:val="21"/>
                <w:szCs w:val="21"/>
              </w:rPr>
              <w:t>25 ml</w:t>
            </w:r>
            <w:r>
              <w:rPr>
                <w:rFonts w:hint="eastAsia" w:ascii="宋体" w:hAnsi="宋体"/>
                <w:color w:val="auto"/>
                <w:sz w:val="21"/>
                <w:szCs w:val="21"/>
              </w:rPr>
              <w:t>/</w:t>
            </w:r>
            <w:r>
              <w:rPr>
                <w:rFonts w:ascii="宋体" w:hAnsi="宋体"/>
                <w:color w:val="auto"/>
                <w:sz w:val="21"/>
                <w:szCs w:val="21"/>
              </w:rPr>
              <w:t>5 秒</w:t>
            </w:r>
          </w:p>
        </w:tc>
        <w:tc>
          <w:tcPr>
            <w:tcW w:w="1380" w:type="dxa"/>
            <w:noWrap w:val="0"/>
            <w:vAlign w:val="center"/>
          </w:tcPr>
          <w:p>
            <w:pPr>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474" w:type="dxa"/>
            <w:noWrap w:val="0"/>
            <w:vAlign w:val="center"/>
          </w:tcPr>
          <w:p>
            <w:pPr>
              <w:jc w:val="center"/>
              <w:rPr>
                <w:rFonts w:ascii="宋体" w:hAnsi="宋体"/>
                <w:color w:val="auto"/>
                <w:sz w:val="21"/>
                <w:szCs w:val="21"/>
              </w:rPr>
            </w:pPr>
            <w:r>
              <w:rPr>
                <w:rFonts w:hint="eastAsia" w:ascii="宋体" w:hAnsi="宋体"/>
                <w:color w:val="auto"/>
                <w:sz w:val="21"/>
                <w:szCs w:val="21"/>
              </w:rPr>
              <w:t>可</w:t>
            </w:r>
            <w:r>
              <w:rPr>
                <w:rFonts w:ascii="宋体" w:hAnsi="宋体"/>
                <w:color w:val="auto"/>
                <w:sz w:val="21"/>
                <w:szCs w:val="21"/>
              </w:rPr>
              <w:t>单指掌控吸液和排液过程</w:t>
            </w:r>
          </w:p>
        </w:tc>
        <w:tc>
          <w:tcPr>
            <w:tcW w:w="1380" w:type="dxa"/>
            <w:noWrap w:val="0"/>
            <w:vAlign w:val="center"/>
          </w:tcPr>
          <w:p>
            <w:pPr>
              <w:widowControl/>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474" w:type="dxa"/>
            <w:noWrap w:val="0"/>
            <w:vAlign w:val="center"/>
          </w:tcPr>
          <w:p>
            <w:pPr>
              <w:widowControl/>
              <w:spacing w:line="240" w:lineRule="auto"/>
              <w:jc w:val="center"/>
              <w:rPr>
                <w:rFonts w:hint="eastAsia"/>
                <w:color w:val="auto"/>
                <w:sz w:val="21"/>
                <w:szCs w:val="21"/>
              </w:rPr>
            </w:pP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474"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474" w:type="dxa"/>
            <w:noWrap w:val="0"/>
            <w:vAlign w:val="center"/>
          </w:tcPr>
          <w:p>
            <w:pPr>
              <w:widowControl/>
              <w:spacing w:line="240" w:lineRule="auto"/>
              <w:jc w:val="center"/>
              <w:rPr>
                <w:rFonts w:hint="eastAsia" w:ascii="宋体" w:hAnsi="宋体"/>
                <w:color w:val="auto"/>
                <w:sz w:val="21"/>
                <w:szCs w:val="21"/>
              </w:rPr>
            </w:pP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47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47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47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474"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31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47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3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47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31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474"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31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47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31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47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1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47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1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47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p>
        </w:tc>
      </w:tr>
    </w:tbl>
    <w:p>
      <w:pPr>
        <w:spacing w:line="520" w:lineRule="exact"/>
        <w:jc w:val="center"/>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w:t>
      </w:r>
      <w:r>
        <w:rPr>
          <w:rFonts w:hint="eastAsia" w:ascii="方正小标宋简体" w:hAnsi="宋体" w:eastAsia="方正小标宋简体" w:cs="宋体"/>
          <w:bCs/>
          <w:color w:val="auto"/>
          <w:kern w:val="0"/>
          <w:sz w:val="44"/>
          <w:szCs w:val="44"/>
        </w:rPr>
        <w:t>倒置荧光显微镜</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Layout w:type="fixed"/>
        <w:tblCellMar>
          <w:top w:w="0" w:type="dxa"/>
          <w:left w:w="108" w:type="dxa"/>
          <w:bottom w:w="0" w:type="dxa"/>
          <w:right w:w="108" w:type="dxa"/>
        </w:tblCellMar>
      </w:tblPr>
      <w:tblGrid>
        <w:gridCol w:w="786"/>
        <w:gridCol w:w="2080"/>
        <w:gridCol w:w="5713"/>
        <w:gridCol w:w="766"/>
      </w:tblGrid>
      <w:tr>
        <w:tblPrEx>
          <w:tblCellMar>
            <w:top w:w="0" w:type="dxa"/>
            <w:left w:w="108" w:type="dxa"/>
            <w:bottom w:w="0" w:type="dxa"/>
            <w:right w:w="108" w:type="dxa"/>
          </w:tblCellMar>
        </w:tblPrEx>
        <w:trPr>
          <w:trHeight w:val="540" w:hRule="atLeast"/>
          <w:jc w:val="center"/>
        </w:trPr>
        <w:tc>
          <w:tcPr>
            <w:tcW w:w="786"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80"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713"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766"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CellMar>
            <w:top w:w="0" w:type="dxa"/>
            <w:left w:w="108" w:type="dxa"/>
            <w:bottom w:w="0" w:type="dxa"/>
            <w:right w:w="108" w:type="dxa"/>
          </w:tblCellMar>
        </w:tblPrEx>
        <w:trPr>
          <w:trHeight w:val="687" w:hRule="atLeast"/>
          <w:jc w:val="center"/>
        </w:trPr>
        <w:tc>
          <w:tcPr>
            <w:tcW w:w="78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80"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71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80"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713"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观察细胞培养，用于研究工作，主要用于细胞等活体组织的观察</w:t>
            </w: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8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713"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用于活细胞研究实验</w:t>
            </w:r>
          </w:p>
        </w:tc>
        <w:tc>
          <w:tcPr>
            <w:tcW w:w="766"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080"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713"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color w:val="auto"/>
                <w:kern w:val="0"/>
                <w:sz w:val="21"/>
                <w:szCs w:val="21"/>
              </w:rPr>
            </w:pP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080"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71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407" w:hRule="atLeast"/>
          <w:jc w:val="center"/>
        </w:trPr>
        <w:tc>
          <w:tcPr>
            <w:tcW w:w="786" w:type="dxa"/>
            <w:tcBorders>
              <w:top w:val="nil"/>
              <w:left w:val="single" w:color="auto" w:sz="8" w:space="0"/>
              <w:bottom w:val="single" w:color="auto" w:sz="4" w:space="0"/>
              <w:right w:val="single" w:color="auto" w:sz="4" w:space="0"/>
            </w:tcBorders>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2.1</w:t>
            </w:r>
          </w:p>
        </w:tc>
        <w:tc>
          <w:tcPr>
            <w:tcW w:w="2080" w:type="dxa"/>
            <w:tcBorders>
              <w:top w:val="nil"/>
              <w:left w:val="nil"/>
              <w:bottom w:val="single" w:color="auto" w:sz="4" w:space="0"/>
              <w:right w:val="single" w:color="auto" w:sz="4" w:space="0"/>
            </w:tcBorders>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★参数1</w:t>
            </w:r>
          </w:p>
        </w:tc>
        <w:tc>
          <w:tcPr>
            <w:tcW w:w="5713"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 w:val="21"/>
                <w:szCs w:val="21"/>
              </w:rPr>
            </w:pPr>
            <w:r>
              <w:rPr>
                <w:rFonts w:hint="eastAsia" w:ascii="宋体" w:hAnsi="宋体" w:cs="宋体"/>
                <w:color w:val="auto"/>
                <w:kern w:val="0"/>
                <w:sz w:val="21"/>
                <w:szCs w:val="21"/>
              </w:rPr>
              <w:t>标配</w:t>
            </w:r>
            <w:r>
              <w:rPr>
                <w:rFonts w:ascii="宋体" w:hAnsi="宋体" w:cs="宋体"/>
                <w:color w:val="auto"/>
                <w:kern w:val="0"/>
                <w:sz w:val="21"/>
                <w:szCs w:val="21"/>
              </w:rPr>
              <w:t>宽视野三目镜筒，</w:t>
            </w:r>
            <w:r>
              <w:rPr>
                <w:rFonts w:hint="eastAsia" w:ascii="宋体" w:hAnsi="宋体" w:cs="宋体"/>
                <w:color w:val="auto"/>
                <w:kern w:val="0"/>
                <w:sz w:val="21"/>
                <w:szCs w:val="21"/>
              </w:rPr>
              <w:t>整机</w:t>
            </w:r>
            <w:r>
              <w:rPr>
                <w:rFonts w:ascii="宋体" w:hAnsi="宋体" w:cs="宋体"/>
                <w:color w:val="auto"/>
                <w:kern w:val="0"/>
                <w:sz w:val="21"/>
                <w:szCs w:val="21"/>
              </w:rPr>
              <w:t>视场数</w:t>
            </w:r>
            <w:r>
              <w:rPr>
                <w:rFonts w:hint="eastAsia" w:ascii="宋体" w:hAnsi="宋体" w:cs="宋体"/>
                <w:color w:val="auto"/>
                <w:kern w:val="0"/>
                <w:sz w:val="21"/>
                <w:szCs w:val="21"/>
              </w:rPr>
              <w:t>≥</w:t>
            </w:r>
            <w:r>
              <w:rPr>
                <w:rFonts w:ascii="宋体" w:hAnsi="宋体" w:cs="宋体"/>
                <w:color w:val="auto"/>
                <w:kern w:val="0"/>
                <w:sz w:val="21"/>
                <w:szCs w:val="21"/>
              </w:rPr>
              <w:t>2</w:t>
            </w:r>
            <w:r>
              <w:rPr>
                <w:rFonts w:hint="eastAsia" w:ascii="宋体" w:hAnsi="宋体" w:cs="宋体"/>
                <w:color w:val="auto"/>
                <w:kern w:val="0"/>
                <w:sz w:val="21"/>
                <w:szCs w:val="21"/>
              </w:rPr>
              <w:t xml:space="preserve">2 </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331" w:hRule="atLeast"/>
          <w:jc w:val="center"/>
        </w:trPr>
        <w:tc>
          <w:tcPr>
            <w:tcW w:w="786"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2.2</w:t>
            </w:r>
          </w:p>
        </w:tc>
        <w:tc>
          <w:tcPr>
            <w:tcW w:w="2080"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★参数2</w:t>
            </w:r>
          </w:p>
        </w:tc>
        <w:tc>
          <w:tcPr>
            <w:tcW w:w="5713" w:type="dxa"/>
            <w:tcBorders>
              <w:top w:val="nil"/>
              <w:left w:val="nil"/>
              <w:bottom w:val="single" w:color="auto" w:sz="4" w:space="0"/>
              <w:right w:val="single" w:color="auto" w:sz="4" w:space="0"/>
            </w:tcBorders>
            <w:noWrap w:val="0"/>
            <w:vAlign w:val="top"/>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LED荧光使用寿命不低于20000小时，配红绿蓝三色荧光激发块</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2.3</w:t>
            </w:r>
          </w:p>
        </w:tc>
        <w:tc>
          <w:tcPr>
            <w:tcW w:w="2080"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参数3</w:t>
            </w:r>
          </w:p>
        </w:tc>
        <w:tc>
          <w:tcPr>
            <w:tcW w:w="5713" w:type="dxa"/>
            <w:tcBorders>
              <w:top w:val="nil"/>
              <w:left w:val="nil"/>
              <w:bottom w:val="single" w:color="auto" w:sz="4" w:space="0"/>
              <w:right w:val="single" w:color="auto" w:sz="4" w:space="0"/>
            </w:tcBorders>
            <w:noWrap w:val="0"/>
            <w:vAlign w:val="top"/>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配置万能适配器，满足T75、T25培养瓶, 35mm, 54mm, 65mm等培养皿、切片、孔板、Terasaki板等在内的各种样品观察</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color w:val="auto"/>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2.4</w:t>
            </w:r>
          </w:p>
        </w:tc>
        <w:tc>
          <w:tcPr>
            <w:tcW w:w="2080"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参数4</w:t>
            </w:r>
          </w:p>
        </w:tc>
        <w:tc>
          <w:tcPr>
            <w:tcW w:w="5713" w:type="dxa"/>
            <w:tcBorders>
              <w:top w:val="nil"/>
              <w:left w:val="nil"/>
              <w:bottom w:val="single" w:color="auto" w:sz="4" w:space="0"/>
              <w:right w:val="single" w:color="auto" w:sz="4" w:space="0"/>
            </w:tcBorders>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成像装置；像素≥2000万像素；实时帧速：≥60 fps；并配置专业显微图象分析软件</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2.5</w:t>
            </w:r>
          </w:p>
        </w:tc>
        <w:tc>
          <w:tcPr>
            <w:tcW w:w="2080"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参数5</w:t>
            </w:r>
          </w:p>
        </w:tc>
        <w:tc>
          <w:tcPr>
            <w:tcW w:w="5713" w:type="dxa"/>
            <w:tcBorders>
              <w:top w:val="nil"/>
              <w:left w:val="nil"/>
              <w:bottom w:val="single" w:color="auto" w:sz="4" w:space="0"/>
              <w:right w:val="single" w:color="auto" w:sz="4" w:space="0"/>
            </w:tcBorders>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长工作距离半复相差</w:t>
            </w:r>
            <w:r>
              <w:rPr>
                <w:rFonts w:ascii="宋体" w:hAnsi="宋体" w:cs="宋体"/>
                <w:color w:val="auto"/>
                <w:kern w:val="0"/>
                <w:sz w:val="21"/>
                <w:szCs w:val="21"/>
              </w:rPr>
              <w:t>物镜：</w:t>
            </w:r>
          </w:p>
          <w:p>
            <w:pPr>
              <w:spacing w:line="240" w:lineRule="auto"/>
              <w:jc w:val="left"/>
              <w:rPr>
                <w:rFonts w:hint="eastAsia" w:ascii="宋体" w:hAnsi="宋体" w:cs="宋体"/>
                <w:color w:val="auto"/>
                <w:kern w:val="0"/>
                <w:sz w:val="21"/>
                <w:szCs w:val="21"/>
              </w:rPr>
            </w:pPr>
            <w:r>
              <w:rPr>
                <w:rFonts w:ascii="宋体" w:hAnsi="宋体" w:cs="宋体"/>
                <w:color w:val="auto"/>
                <w:kern w:val="0"/>
                <w:sz w:val="21"/>
                <w:szCs w:val="21"/>
              </w:rPr>
              <w:t xml:space="preserve">4X </w:t>
            </w:r>
            <w:r>
              <w:rPr>
                <w:rFonts w:hint="eastAsia" w:ascii="宋体" w:hAnsi="宋体" w:cs="宋体"/>
                <w:color w:val="auto"/>
                <w:kern w:val="0"/>
                <w:sz w:val="21"/>
                <w:szCs w:val="21"/>
              </w:rPr>
              <w:t xml:space="preserve">  N.A.≥0. 13  </w:t>
            </w:r>
            <w:r>
              <w:rPr>
                <w:rFonts w:ascii="宋体" w:hAnsi="宋体" w:cs="宋体"/>
                <w:color w:val="auto"/>
                <w:kern w:val="0"/>
                <w:sz w:val="21"/>
                <w:szCs w:val="21"/>
              </w:rPr>
              <w:t>WD</w:t>
            </w:r>
            <w:r>
              <w:rPr>
                <w:rFonts w:hint="eastAsia" w:ascii="宋体" w:hAnsi="宋体" w:cs="宋体"/>
                <w:color w:val="auto"/>
                <w:kern w:val="0"/>
                <w:sz w:val="21"/>
                <w:szCs w:val="21"/>
              </w:rPr>
              <w:t xml:space="preserve"> ≥17mm</w:t>
            </w:r>
            <w:r>
              <w:rPr>
                <w:rFonts w:ascii="宋体" w:hAnsi="宋体" w:cs="宋体"/>
                <w:color w:val="auto"/>
                <w:kern w:val="0"/>
                <w:sz w:val="21"/>
                <w:szCs w:val="21"/>
              </w:rPr>
              <w:br w:type="textWrapping"/>
            </w:r>
            <w:r>
              <w:rPr>
                <w:rFonts w:ascii="宋体" w:hAnsi="宋体" w:cs="宋体"/>
                <w:color w:val="auto"/>
                <w:kern w:val="0"/>
                <w:sz w:val="21"/>
                <w:szCs w:val="21"/>
              </w:rPr>
              <w:t xml:space="preserve">10X </w:t>
            </w:r>
            <w:r>
              <w:rPr>
                <w:rFonts w:hint="eastAsia" w:ascii="宋体" w:hAnsi="宋体" w:cs="宋体"/>
                <w:color w:val="auto"/>
                <w:kern w:val="0"/>
                <w:sz w:val="21"/>
                <w:szCs w:val="21"/>
              </w:rPr>
              <w:t xml:space="preserve"> N.A.≥0. 3   </w:t>
            </w:r>
            <w:r>
              <w:rPr>
                <w:rFonts w:ascii="宋体" w:hAnsi="宋体" w:cs="宋体"/>
                <w:color w:val="auto"/>
                <w:kern w:val="0"/>
                <w:sz w:val="21"/>
                <w:szCs w:val="21"/>
              </w:rPr>
              <w:t>WD</w:t>
            </w:r>
            <w:r>
              <w:rPr>
                <w:rFonts w:hint="eastAsia" w:ascii="宋体" w:hAnsi="宋体" w:cs="宋体"/>
                <w:color w:val="auto"/>
                <w:kern w:val="0"/>
                <w:sz w:val="21"/>
                <w:szCs w:val="21"/>
              </w:rPr>
              <w:t xml:space="preserve"> ≥10mm</w:t>
            </w:r>
            <w:r>
              <w:rPr>
                <w:rFonts w:ascii="宋体" w:hAnsi="宋体" w:cs="宋体"/>
                <w:color w:val="auto"/>
                <w:kern w:val="0"/>
                <w:sz w:val="21"/>
                <w:szCs w:val="21"/>
              </w:rPr>
              <w:br w:type="textWrapping"/>
            </w:r>
            <w:r>
              <w:rPr>
                <w:rFonts w:ascii="宋体" w:hAnsi="宋体" w:cs="宋体"/>
                <w:color w:val="auto"/>
                <w:kern w:val="0"/>
                <w:sz w:val="21"/>
                <w:szCs w:val="21"/>
              </w:rPr>
              <w:t xml:space="preserve">20X </w:t>
            </w:r>
            <w:r>
              <w:rPr>
                <w:rFonts w:hint="eastAsia" w:ascii="宋体" w:hAnsi="宋体" w:cs="宋体"/>
                <w:color w:val="auto"/>
                <w:kern w:val="0"/>
                <w:sz w:val="21"/>
                <w:szCs w:val="21"/>
              </w:rPr>
              <w:t xml:space="preserve"> N.A.≥0. 45  </w:t>
            </w:r>
            <w:r>
              <w:rPr>
                <w:rFonts w:ascii="宋体" w:hAnsi="宋体" w:cs="宋体"/>
                <w:color w:val="auto"/>
                <w:kern w:val="0"/>
                <w:sz w:val="21"/>
                <w:szCs w:val="21"/>
              </w:rPr>
              <w:t>WD</w:t>
            </w:r>
            <w:r>
              <w:rPr>
                <w:rFonts w:hint="eastAsia" w:ascii="宋体" w:hAnsi="宋体" w:cs="宋体"/>
                <w:color w:val="auto"/>
                <w:kern w:val="0"/>
                <w:sz w:val="21"/>
                <w:szCs w:val="21"/>
              </w:rPr>
              <w:t xml:space="preserve"> ≥7.8mm</w:t>
            </w:r>
            <w:r>
              <w:rPr>
                <w:rFonts w:ascii="宋体" w:hAnsi="宋体" w:cs="宋体"/>
                <w:color w:val="auto"/>
                <w:kern w:val="0"/>
                <w:sz w:val="21"/>
                <w:szCs w:val="21"/>
              </w:rPr>
              <w:br w:type="textWrapping"/>
            </w:r>
            <w:r>
              <w:rPr>
                <w:rFonts w:ascii="宋体" w:hAnsi="宋体" w:cs="宋体"/>
                <w:color w:val="auto"/>
                <w:kern w:val="0"/>
                <w:sz w:val="21"/>
                <w:szCs w:val="21"/>
              </w:rPr>
              <w:t xml:space="preserve">40X </w:t>
            </w:r>
            <w:r>
              <w:rPr>
                <w:rFonts w:hint="eastAsia" w:ascii="宋体" w:hAnsi="宋体" w:cs="宋体"/>
                <w:color w:val="auto"/>
                <w:kern w:val="0"/>
                <w:sz w:val="21"/>
                <w:szCs w:val="21"/>
              </w:rPr>
              <w:t xml:space="preserve"> N.A.≥0.6  </w:t>
            </w:r>
            <w:r>
              <w:rPr>
                <w:rFonts w:ascii="宋体" w:hAnsi="宋体" w:cs="宋体"/>
                <w:color w:val="auto"/>
                <w:kern w:val="0"/>
                <w:sz w:val="21"/>
                <w:szCs w:val="21"/>
              </w:rPr>
              <w:t>WD</w:t>
            </w:r>
            <w:r>
              <w:rPr>
                <w:rFonts w:hint="eastAsia" w:ascii="宋体" w:hAnsi="宋体" w:cs="宋体"/>
                <w:color w:val="auto"/>
                <w:kern w:val="0"/>
                <w:sz w:val="21"/>
                <w:szCs w:val="21"/>
              </w:rPr>
              <w:t xml:space="preserve"> ≥4.2mm</w:t>
            </w:r>
          </w:p>
        </w:tc>
        <w:tc>
          <w:tcPr>
            <w:tcW w:w="766" w:type="dxa"/>
            <w:tcBorders>
              <w:top w:val="nil"/>
              <w:left w:val="nil"/>
              <w:bottom w:val="single" w:color="auto" w:sz="4" w:space="0"/>
              <w:right w:val="single" w:color="auto" w:sz="8" w:space="0"/>
            </w:tcBorders>
            <w:noWrap w:val="0"/>
            <w:vAlign w:val="center"/>
          </w:tcPr>
          <w:p>
            <w:pPr>
              <w:spacing w:line="240" w:lineRule="auto"/>
              <w:jc w:val="center"/>
              <w:rPr>
                <w:rFonts w:ascii="宋体" w:hAnsi="宋体" w:cs="宋体"/>
                <w:color w:val="auto"/>
                <w:kern w:val="0"/>
                <w:sz w:val="21"/>
                <w:szCs w:val="21"/>
              </w:rPr>
            </w:pPr>
          </w:p>
        </w:tc>
      </w:tr>
      <w:tr>
        <w:tblPrEx>
          <w:tblCellMar>
            <w:top w:w="0" w:type="dxa"/>
            <w:left w:w="108" w:type="dxa"/>
            <w:bottom w:w="0" w:type="dxa"/>
            <w:right w:w="108" w:type="dxa"/>
          </w:tblCellMar>
        </w:tblPrEx>
        <w:trPr>
          <w:trHeight w:val="346" w:hRule="atLeast"/>
          <w:jc w:val="center"/>
        </w:trPr>
        <w:tc>
          <w:tcPr>
            <w:tcW w:w="786"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2.6</w:t>
            </w:r>
          </w:p>
        </w:tc>
        <w:tc>
          <w:tcPr>
            <w:tcW w:w="2080"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713" w:type="dxa"/>
            <w:tcBorders>
              <w:top w:val="nil"/>
              <w:left w:val="nil"/>
              <w:bottom w:val="single" w:color="auto" w:sz="4" w:space="0"/>
              <w:right w:val="single" w:color="auto" w:sz="4" w:space="0"/>
            </w:tcBorders>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配置</w:t>
            </w:r>
            <w:r>
              <w:rPr>
                <w:rFonts w:ascii="宋体" w:hAnsi="宋体" w:cs="宋体"/>
                <w:color w:val="auto"/>
                <w:kern w:val="0"/>
                <w:sz w:val="21"/>
                <w:szCs w:val="21"/>
              </w:rPr>
              <w:t>超长工作距离聚光镜：N.A.≥0.3，W.D.≥72mm</w:t>
            </w:r>
          </w:p>
        </w:tc>
        <w:tc>
          <w:tcPr>
            <w:tcW w:w="766" w:type="dxa"/>
            <w:tcBorders>
              <w:top w:val="nil"/>
              <w:left w:val="nil"/>
              <w:bottom w:val="single" w:color="auto" w:sz="4" w:space="0"/>
              <w:right w:val="single" w:color="auto" w:sz="8"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99"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7</w:t>
            </w:r>
          </w:p>
        </w:tc>
        <w:tc>
          <w:tcPr>
            <w:tcW w:w="2080"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7</w:t>
            </w:r>
          </w:p>
        </w:tc>
        <w:tc>
          <w:tcPr>
            <w:tcW w:w="5713" w:type="dxa"/>
            <w:tcBorders>
              <w:top w:val="single" w:color="auto" w:sz="4" w:space="0"/>
              <w:left w:val="nil"/>
              <w:bottom w:val="single" w:color="auto" w:sz="4" w:space="0"/>
              <w:right w:val="single" w:color="auto" w:sz="4" w:space="0"/>
            </w:tcBorders>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聚光镜可自由拆卸，拆卸后工作空间不低于190mm，可满足多层组织培养瓶（细胞工厂）观察。</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8</w:t>
            </w:r>
          </w:p>
        </w:tc>
        <w:tc>
          <w:tcPr>
            <w:tcW w:w="2080"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8</w:t>
            </w:r>
          </w:p>
        </w:tc>
        <w:tc>
          <w:tcPr>
            <w:tcW w:w="5713"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hint="eastAsia" w:ascii="宋体" w:hAnsi="宋体" w:cs="宋体"/>
                <w:color w:val="auto"/>
                <w:kern w:val="0"/>
                <w:sz w:val="21"/>
                <w:szCs w:val="21"/>
              </w:rPr>
              <w:t>主机</w:t>
            </w:r>
            <w:r>
              <w:rPr>
                <w:rFonts w:ascii="宋体" w:hAnsi="宋体" w:cs="宋体"/>
                <w:color w:val="auto"/>
                <w:kern w:val="0"/>
                <w:sz w:val="21"/>
                <w:szCs w:val="21"/>
              </w:rPr>
              <w:t>：</w:t>
            </w:r>
            <w:r>
              <w:rPr>
                <w:rFonts w:hint="eastAsia" w:ascii="宋体" w:hAnsi="宋体" w:cs="宋体"/>
                <w:color w:val="auto"/>
                <w:kern w:val="0"/>
                <w:sz w:val="21"/>
                <w:szCs w:val="21"/>
              </w:rPr>
              <w:t>底座具有滑动垫，可单手轻松移动显微镜。机身具有防UV涂层，在紫外消毒灯照射下，可避免机身老化变色。</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9</w:t>
            </w:r>
          </w:p>
        </w:tc>
        <w:tc>
          <w:tcPr>
            <w:tcW w:w="2080"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9</w:t>
            </w:r>
          </w:p>
        </w:tc>
        <w:tc>
          <w:tcPr>
            <w:tcW w:w="5713"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ascii="宋体" w:hAnsi="宋体" w:cs="宋体"/>
                <w:color w:val="auto"/>
                <w:kern w:val="0"/>
                <w:sz w:val="21"/>
                <w:szCs w:val="21"/>
              </w:rPr>
              <w:t>光学系统：无限远校正光学系统，齐焦距离必须为国际标准45mm。</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10</w:t>
            </w:r>
          </w:p>
        </w:tc>
        <w:tc>
          <w:tcPr>
            <w:tcW w:w="2080"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10</w:t>
            </w:r>
          </w:p>
        </w:tc>
        <w:tc>
          <w:tcPr>
            <w:tcW w:w="5713"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hint="eastAsia" w:ascii="宋体" w:hAnsi="宋体" w:cs="宋体"/>
                <w:color w:val="auto"/>
                <w:kern w:val="0"/>
                <w:sz w:val="21"/>
                <w:szCs w:val="21"/>
              </w:rPr>
              <w:t>移动尺具有孔板定位功能，可以轻松识别观察的板孔编号</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2.1</w:t>
            </w:r>
            <w:r>
              <w:rPr>
                <w:rFonts w:hint="eastAsia" w:ascii="宋体" w:hAnsi="宋体" w:cs="宋体"/>
                <w:color w:val="auto"/>
                <w:kern w:val="0"/>
                <w:sz w:val="21"/>
                <w:szCs w:val="21"/>
              </w:rPr>
              <w:t>1</w:t>
            </w:r>
          </w:p>
        </w:tc>
        <w:tc>
          <w:tcPr>
            <w:tcW w:w="2080"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参数1</w:t>
            </w:r>
            <w:r>
              <w:rPr>
                <w:rFonts w:hint="eastAsia" w:ascii="宋体" w:hAnsi="宋体" w:cs="宋体"/>
                <w:color w:val="auto"/>
                <w:kern w:val="0"/>
                <w:sz w:val="21"/>
                <w:szCs w:val="21"/>
              </w:rPr>
              <w:t>1</w:t>
            </w:r>
          </w:p>
        </w:tc>
        <w:tc>
          <w:tcPr>
            <w:tcW w:w="5713"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hint="eastAsia" w:ascii="宋体" w:hAnsi="宋体" w:cs="宋体"/>
                <w:color w:val="auto"/>
                <w:kern w:val="0"/>
                <w:sz w:val="21"/>
                <w:szCs w:val="21"/>
              </w:rPr>
              <w:t>观察筒采用蝶形设计，可获得不同眼点高度。</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08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71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ascii="宋体" w:hAnsi="宋体" w:cs="宋体"/>
                <w:color w:val="auto"/>
                <w:kern w:val="0"/>
                <w:sz w:val="21"/>
                <w:szCs w:val="21"/>
              </w:rPr>
              <w:t>3.1</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ascii="宋体" w:hAnsi="宋体" w:cs="宋体"/>
                <w:color w:val="auto"/>
                <w:kern w:val="0"/>
                <w:sz w:val="21"/>
                <w:szCs w:val="21"/>
              </w:rPr>
              <w:t>配置1</w:t>
            </w:r>
          </w:p>
        </w:tc>
        <w:tc>
          <w:tcPr>
            <w:tcW w:w="5713"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auto"/>
                <w:kern w:val="0"/>
                <w:sz w:val="21"/>
                <w:szCs w:val="21"/>
              </w:rPr>
            </w:pPr>
            <w:r>
              <w:rPr>
                <w:rFonts w:hint="eastAsia" w:ascii="宋体" w:hAnsi="宋体" w:cs="宋体"/>
                <w:color w:val="auto"/>
                <w:kern w:val="0"/>
                <w:sz w:val="21"/>
                <w:szCs w:val="21"/>
              </w:rPr>
              <w:t xml:space="preserve">显微镜主机 </w:t>
            </w:r>
            <w:r>
              <w:rPr>
                <w:rFonts w:ascii="宋体" w:hAnsi="宋体" w:cs="宋体"/>
                <w:color w:val="auto"/>
                <w:kern w:val="0"/>
                <w:sz w:val="21"/>
                <w:szCs w:val="21"/>
              </w:rPr>
              <w:t xml:space="preserve">          </w:t>
            </w:r>
            <w:r>
              <w:rPr>
                <w:rFonts w:hint="eastAsia" w:ascii="宋体" w:hAnsi="宋体" w:cs="宋体"/>
                <w:color w:val="auto"/>
                <w:kern w:val="0"/>
                <w:sz w:val="21"/>
                <w:szCs w:val="21"/>
              </w:rPr>
              <w:t>1台</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3.2</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配置2</w:t>
            </w:r>
          </w:p>
        </w:tc>
        <w:tc>
          <w:tcPr>
            <w:tcW w:w="5713" w:type="dxa"/>
            <w:tcBorders>
              <w:top w:val="single" w:color="auto" w:sz="4" w:space="0"/>
              <w:left w:val="nil"/>
              <w:bottom w:val="single" w:color="auto" w:sz="4" w:space="0"/>
              <w:right w:val="single" w:color="auto" w:sz="4" w:space="0"/>
            </w:tcBorders>
            <w:noWrap w:val="0"/>
            <w:vAlign w:val="center"/>
          </w:tcPr>
          <w:p>
            <w:pPr>
              <w:ind w:left="420" w:hanging="402" w:hangingChars="200"/>
              <w:jc w:val="left"/>
              <w:rPr>
                <w:rFonts w:ascii="宋体" w:hAnsi="宋体" w:cs="宋体"/>
                <w:color w:val="auto"/>
                <w:kern w:val="0"/>
                <w:sz w:val="21"/>
                <w:szCs w:val="21"/>
              </w:rPr>
            </w:pPr>
            <w:r>
              <w:rPr>
                <w:rFonts w:hint="eastAsia" w:ascii="宋体" w:hAnsi="宋体" w:cs="宋体"/>
                <w:color w:val="auto"/>
                <w:kern w:val="0"/>
                <w:sz w:val="21"/>
                <w:szCs w:val="21"/>
              </w:rPr>
              <w:t xml:space="preserve">长工作距离4x\10x\20x\40x半复相差物镜 </w:t>
            </w:r>
            <w:r>
              <w:rPr>
                <w:rFonts w:ascii="宋体" w:hAnsi="宋体" w:cs="宋体"/>
                <w:color w:val="auto"/>
                <w:kern w:val="0"/>
                <w:sz w:val="21"/>
                <w:szCs w:val="21"/>
              </w:rPr>
              <w:t xml:space="preserve"> </w:t>
            </w:r>
            <w:r>
              <w:rPr>
                <w:rFonts w:hint="eastAsia" w:ascii="宋体" w:hAnsi="宋体" w:cs="宋体"/>
                <w:color w:val="auto"/>
                <w:kern w:val="0"/>
                <w:sz w:val="21"/>
                <w:szCs w:val="21"/>
              </w:rPr>
              <w:t>各1个</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3.3</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配置3</w:t>
            </w:r>
          </w:p>
        </w:tc>
        <w:tc>
          <w:tcPr>
            <w:tcW w:w="571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多功能机械载物台及万能适配器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3.4</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配置4</w:t>
            </w:r>
          </w:p>
        </w:tc>
        <w:tc>
          <w:tcPr>
            <w:tcW w:w="571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LED荧光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3.5</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配置5</w:t>
            </w:r>
          </w:p>
        </w:tc>
        <w:tc>
          <w:tcPr>
            <w:tcW w:w="571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050</w:t>
            </w:r>
            <w:r>
              <w:rPr>
                <w:rFonts w:hint="eastAsia" w:ascii="宋体" w:hAnsi="宋体" w:cs="宋体"/>
                <w:color w:val="auto"/>
                <w:kern w:val="0"/>
                <w:sz w:val="21"/>
                <w:szCs w:val="21"/>
              </w:rPr>
              <w:t xml:space="preserve">万像素高分辨彩色COMS相机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w:t>
            </w:r>
            <w:r>
              <w:rPr>
                <w:rFonts w:hint="eastAsia" w:ascii="宋体" w:hAnsi="宋体" w:cs="宋体"/>
                <w:color w:val="auto"/>
                <w:kern w:val="0"/>
                <w:sz w:val="21"/>
                <w:szCs w:val="21"/>
              </w:rPr>
              <w:t>6</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w:t>
            </w:r>
            <w:r>
              <w:rPr>
                <w:rFonts w:hint="eastAsia" w:ascii="宋体" w:hAnsi="宋体" w:cs="宋体"/>
                <w:color w:val="auto"/>
                <w:kern w:val="0"/>
                <w:sz w:val="21"/>
                <w:szCs w:val="21"/>
              </w:rPr>
              <w:t>6</w:t>
            </w:r>
          </w:p>
        </w:tc>
        <w:tc>
          <w:tcPr>
            <w:tcW w:w="571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品牌电脑（CPU:≥Inter酷睿i5处理器，内存：≥4G, 硬盘：≥1T，显示器：≥19寸液晶，DVD刻录光驱）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08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71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保修年限</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rPr>
              <w:t>海外安装,海外维保≥3年</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4.2</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出现故障响应时间</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4.3</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维修支持</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配件供应时间≥10年</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4.4</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耗材及零配件</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hint="eastAsia" w:ascii="宋体" w:hAnsi="宋体" w:cs="宋体"/>
                <w:color w:val="auto"/>
                <w:kern w:val="0"/>
                <w:sz w:val="21"/>
                <w:szCs w:val="21"/>
              </w:rPr>
              <w:t>提供耗材及主要零配件目录（含报价）</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维修资料</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提供详细操作手册、维修保养手册、安装手册等</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4.6</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维修工具</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提供维修专用工具1套</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4.7</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预防性维修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/定期维护保养</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保修期内提供定期维护保养服务</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4.8</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维修密码支持</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开放</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4.9</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升级</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终身免费软件升级</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4.10</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使用培训</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4.11</w:t>
            </w:r>
          </w:p>
        </w:tc>
        <w:tc>
          <w:tcPr>
            <w:tcW w:w="208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工程师培训</w:t>
            </w:r>
          </w:p>
        </w:tc>
        <w:tc>
          <w:tcPr>
            <w:tcW w:w="571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pStyle w:val="6"/>
        <w:widowControl/>
        <w:shd w:val="clear" w:color="auto" w:fill="FFFFFF"/>
        <w:spacing w:before="0" w:beforeAutospacing="0" w:after="0" w:afterAutospacing="0" w:line="360" w:lineRule="atLeast"/>
        <w:ind w:left="150" w:right="150"/>
        <w:jc w:val="center"/>
        <w:rPr>
          <w:rFonts w:hint="eastAsia" w:ascii="方正小标宋简体" w:eastAsia="方正小标宋简体" w:cs="宋体"/>
          <w:b w:val="0"/>
          <w:bCs/>
          <w:color w:val="auto"/>
          <w:sz w:val="44"/>
          <w:szCs w:val="44"/>
          <w:lang w:eastAsia="zh-CN"/>
        </w:rPr>
      </w:pPr>
      <w:r>
        <w:rPr>
          <w:rFonts w:hint="eastAsia" w:ascii="方正小标宋简体" w:eastAsia="方正小标宋简体" w:cs="宋体"/>
          <w:b w:val="0"/>
          <w:bCs/>
          <w:color w:val="auto"/>
          <w:sz w:val="44"/>
          <w:szCs w:val="44"/>
          <w:lang w:val="en-US" w:eastAsia="zh-CN"/>
        </w:rPr>
        <w:t>3.</w:t>
      </w:r>
      <w:r>
        <w:rPr>
          <w:rFonts w:ascii="方正小标宋简体" w:eastAsia="方正小标宋简体" w:cs="宋体"/>
          <w:b w:val="0"/>
          <w:bCs/>
          <w:color w:val="auto"/>
          <w:sz w:val="44"/>
          <w:szCs w:val="44"/>
        </w:rPr>
        <w:t>二氧化碳培养箱</w:t>
      </w:r>
      <w:r>
        <w:rPr>
          <w:rFonts w:hint="eastAsia" w:ascii="方正小标宋简体" w:eastAsia="方正小标宋简体" w:cs="宋体"/>
          <w:b w:val="0"/>
          <w:bCs/>
          <w:color w:val="auto"/>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5"/>
        <w:gridCol w:w="5338"/>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5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2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33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2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5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2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338" w:type="dxa"/>
            <w:noWrap w:val="0"/>
            <w:vAlign w:val="center"/>
          </w:tcPr>
          <w:p>
            <w:pPr>
              <w:widowControl/>
              <w:spacing w:line="240" w:lineRule="auto"/>
              <w:jc w:val="center"/>
              <w:rPr>
                <w:rFonts w:ascii="宋体" w:hAnsi="宋体" w:cs="宋体"/>
                <w:b/>
                <w:bCs/>
                <w:color w:val="auto"/>
                <w:kern w:val="0"/>
              </w:rPr>
            </w:pPr>
          </w:p>
        </w:tc>
        <w:tc>
          <w:tcPr>
            <w:tcW w:w="925"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2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33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用于在特定CO2浓度下培养微生物</w:t>
            </w:r>
          </w:p>
        </w:tc>
        <w:tc>
          <w:tcPr>
            <w:tcW w:w="925"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57"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25"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338"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临床样品及菌株</w:t>
            </w:r>
          </w:p>
        </w:tc>
        <w:tc>
          <w:tcPr>
            <w:tcW w:w="925"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57"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2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338" w:type="dxa"/>
            <w:noWrap w:val="0"/>
            <w:vAlign w:val="center"/>
          </w:tcPr>
          <w:p>
            <w:pPr>
              <w:widowControl/>
              <w:spacing w:line="240" w:lineRule="auto"/>
              <w:rPr>
                <w:rFonts w:ascii="宋体" w:hAnsi="宋体" w:cs="宋体"/>
                <w:bCs/>
                <w:color w:val="auto"/>
                <w:kern w:val="0"/>
                <w:sz w:val="21"/>
                <w:szCs w:val="21"/>
              </w:rPr>
            </w:pPr>
          </w:p>
        </w:tc>
        <w:tc>
          <w:tcPr>
            <w:tcW w:w="925"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2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338" w:type="dxa"/>
            <w:noWrap w:val="0"/>
            <w:vAlign w:val="center"/>
          </w:tcPr>
          <w:p>
            <w:pPr>
              <w:widowControl/>
              <w:spacing w:line="240" w:lineRule="auto"/>
              <w:jc w:val="center"/>
              <w:rPr>
                <w:rFonts w:ascii="宋体" w:hAnsi="宋体" w:cs="宋体"/>
                <w:color w:val="auto"/>
                <w:kern w:val="0"/>
                <w:sz w:val="21"/>
                <w:szCs w:val="21"/>
              </w:rPr>
            </w:pPr>
          </w:p>
        </w:tc>
        <w:tc>
          <w:tcPr>
            <w:tcW w:w="925"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2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338" w:type="dxa"/>
            <w:noWrap w:val="0"/>
            <w:vAlign w:val="center"/>
          </w:tcPr>
          <w:p>
            <w:pPr>
              <w:rPr>
                <w:rFonts w:hint="eastAsia" w:ascii="宋体" w:hAnsi="宋体"/>
                <w:color w:val="auto"/>
                <w:sz w:val="21"/>
                <w:szCs w:val="21"/>
              </w:rPr>
            </w:pPr>
            <w:r>
              <w:rPr>
                <w:rFonts w:hint="eastAsia" w:ascii="宋体" w:hAnsi="宋体"/>
                <w:color w:val="auto"/>
                <w:sz w:val="21"/>
                <w:szCs w:val="21"/>
              </w:rPr>
              <w:t>具有90℃高温湿热循环灭菌，并带排气泵在灭菌后程具有干燥和冷却功能，无需人工擦拭，避免污染。</w:t>
            </w:r>
          </w:p>
        </w:tc>
        <w:tc>
          <w:tcPr>
            <w:tcW w:w="925"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338" w:type="dxa"/>
            <w:noWrap w:val="0"/>
            <w:vAlign w:val="center"/>
          </w:tcPr>
          <w:p>
            <w:pPr>
              <w:spacing w:line="240" w:lineRule="auto"/>
              <w:rPr>
                <w:rFonts w:hint="eastAsia"/>
                <w:color w:val="auto"/>
                <w:sz w:val="21"/>
                <w:szCs w:val="21"/>
              </w:rPr>
            </w:pPr>
            <w:r>
              <w:rPr>
                <w:rFonts w:hint="eastAsia"/>
                <w:color w:val="auto"/>
                <w:sz w:val="21"/>
                <w:szCs w:val="21"/>
              </w:rPr>
              <w:t>配置二氧化碳浓度传感器，并具有CO2浓度自校准功能，保证CO2浓度的高精确性。</w:t>
            </w:r>
          </w:p>
        </w:tc>
        <w:tc>
          <w:tcPr>
            <w:tcW w:w="925"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5338" w:type="dxa"/>
            <w:noWrap w:val="0"/>
            <w:vAlign w:val="center"/>
          </w:tcPr>
          <w:p>
            <w:pPr>
              <w:rPr>
                <w:rFonts w:ascii="宋体" w:hAnsi="宋体"/>
                <w:color w:val="auto"/>
                <w:sz w:val="21"/>
                <w:szCs w:val="21"/>
              </w:rPr>
            </w:pPr>
            <w:r>
              <w:rPr>
                <w:rFonts w:hint="eastAsia" w:ascii="宋体" w:hAnsi="宋体"/>
                <w:color w:val="auto"/>
                <w:sz w:val="21"/>
                <w:szCs w:val="21"/>
              </w:rPr>
              <w:t>CO2控制范围：0~20％，CO2控制精度：±0.1%。</w:t>
            </w:r>
          </w:p>
        </w:tc>
        <w:tc>
          <w:tcPr>
            <w:tcW w:w="925"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338" w:type="dxa"/>
            <w:noWrap w:val="0"/>
            <w:vAlign w:val="center"/>
          </w:tcPr>
          <w:p>
            <w:pPr>
              <w:rPr>
                <w:rFonts w:hint="eastAsia" w:ascii="宋体" w:hAnsi="宋体"/>
                <w:color w:val="auto"/>
                <w:sz w:val="21"/>
                <w:szCs w:val="21"/>
              </w:rPr>
            </w:pPr>
            <w:r>
              <w:rPr>
                <w:rFonts w:hint="eastAsia" w:ascii="宋体" w:hAnsi="宋体"/>
                <w:color w:val="auto"/>
                <w:sz w:val="21"/>
                <w:szCs w:val="21"/>
              </w:rPr>
              <w:t>开门1min后，37℃温度恢复时间（min）：≤5min，5%浓度时CO2恢复时间：≤4min。</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338" w:type="dxa"/>
            <w:noWrap w:val="0"/>
            <w:vAlign w:val="center"/>
          </w:tcPr>
          <w:p>
            <w:pPr>
              <w:rPr>
                <w:rFonts w:hint="eastAsia" w:ascii="宋体" w:hAnsi="宋体"/>
                <w:color w:val="auto"/>
                <w:sz w:val="21"/>
                <w:szCs w:val="21"/>
              </w:rPr>
            </w:pPr>
            <w:r>
              <w:rPr>
                <w:rFonts w:hint="eastAsia" w:ascii="宋体" w:hAnsi="宋体"/>
                <w:color w:val="auto"/>
                <w:sz w:val="21"/>
                <w:szCs w:val="21"/>
              </w:rPr>
              <w:t>灭菌过程中无需拆卸二氧化碳传感器，简便且减少交叉污染的风险。</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5338" w:type="dxa"/>
            <w:noWrap w:val="0"/>
            <w:vAlign w:val="center"/>
          </w:tcPr>
          <w:p>
            <w:pPr>
              <w:rPr>
                <w:rFonts w:hint="eastAsia" w:ascii="宋体" w:hAnsi="宋体"/>
                <w:color w:val="auto"/>
                <w:sz w:val="21"/>
                <w:szCs w:val="21"/>
              </w:rPr>
            </w:pPr>
            <w:r>
              <w:rPr>
                <w:rFonts w:ascii="Arial" w:cs="Arial"/>
                <w:color w:val="auto"/>
                <w:sz w:val="21"/>
                <w:szCs w:val="21"/>
              </w:rPr>
              <w:t>温度控制范围（℃）：</w:t>
            </w:r>
            <w:r>
              <w:rPr>
                <w:rFonts w:hint="eastAsia" w:ascii="Arial" w:cs="Arial"/>
                <w:color w:val="auto"/>
                <w:sz w:val="21"/>
                <w:szCs w:val="21"/>
              </w:rPr>
              <w:t>环境温度</w:t>
            </w:r>
            <w:r>
              <w:rPr>
                <w:rFonts w:ascii="Arial" w:hAnsi="Arial" w:cs="Arial"/>
                <w:color w:val="auto"/>
                <w:sz w:val="21"/>
                <w:szCs w:val="21"/>
              </w:rPr>
              <w:t>+</w:t>
            </w:r>
            <w:r>
              <w:rPr>
                <w:rFonts w:hint="eastAsia" w:ascii="Arial" w:hAnsi="Arial" w:cs="Arial"/>
                <w:color w:val="auto"/>
                <w:sz w:val="21"/>
                <w:szCs w:val="21"/>
              </w:rPr>
              <w:t>3</w:t>
            </w:r>
            <w:r>
              <w:rPr>
                <w:rFonts w:ascii="Arial" w:hAnsi="Arial" w:cs="Arial"/>
                <w:color w:val="auto"/>
                <w:sz w:val="21"/>
                <w:szCs w:val="21"/>
              </w:rPr>
              <w:t>~</w:t>
            </w:r>
            <w:r>
              <w:rPr>
                <w:rFonts w:hint="eastAsia" w:ascii="Arial" w:hAnsi="Arial" w:cs="Arial"/>
                <w:color w:val="auto"/>
                <w:sz w:val="21"/>
                <w:szCs w:val="21"/>
              </w:rPr>
              <w:t>6</w:t>
            </w:r>
            <w:r>
              <w:rPr>
                <w:rFonts w:ascii="Arial" w:hAnsi="Arial" w:cs="Arial"/>
                <w:color w:val="auto"/>
                <w:sz w:val="21"/>
                <w:szCs w:val="21"/>
              </w:rPr>
              <w:t>0</w:t>
            </w:r>
            <w:r>
              <w:rPr>
                <w:rFonts w:ascii="Arial" w:cs="Arial"/>
                <w:color w:val="auto"/>
                <w:sz w:val="21"/>
                <w:szCs w:val="21"/>
              </w:rPr>
              <w:t>℃</w:t>
            </w:r>
            <w:r>
              <w:rPr>
                <w:rFonts w:hint="eastAsia" w:ascii="Arial" w:cs="Arial"/>
                <w:color w:val="auto"/>
                <w:sz w:val="21"/>
                <w:szCs w:val="21"/>
              </w:rPr>
              <w:t>。</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338" w:type="dxa"/>
            <w:noWrap w:val="0"/>
            <w:vAlign w:val="center"/>
          </w:tcPr>
          <w:p>
            <w:pPr>
              <w:rPr>
                <w:rFonts w:ascii="宋体" w:hAnsi="宋体"/>
                <w:color w:val="auto"/>
                <w:sz w:val="21"/>
                <w:szCs w:val="21"/>
              </w:rPr>
            </w:pPr>
            <w:r>
              <w:rPr>
                <w:rFonts w:hint="eastAsia" w:ascii="宋体" w:hAnsi="宋体"/>
                <w:color w:val="auto"/>
                <w:sz w:val="21"/>
                <w:szCs w:val="21"/>
              </w:rPr>
              <w:t>内部尺寸（宽×深×高）</w:t>
            </w:r>
            <w:bookmarkStart w:id="26" w:name="_Hlk16584000"/>
            <w:r>
              <w:rPr>
                <w:rFonts w:hint="eastAsia" w:ascii="宋体" w:hAnsi="宋体"/>
                <w:color w:val="auto"/>
                <w:sz w:val="21"/>
                <w:szCs w:val="21"/>
              </w:rPr>
              <w:t>≥500 ×600× 6</w:t>
            </w:r>
            <w:bookmarkEnd w:id="26"/>
            <w:r>
              <w:rPr>
                <w:rFonts w:hint="eastAsia" w:ascii="宋体" w:hAnsi="宋体"/>
                <w:color w:val="auto"/>
                <w:sz w:val="21"/>
                <w:szCs w:val="21"/>
              </w:rPr>
              <w:t>00mm</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338" w:type="dxa"/>
            <w:noWrap w:val="0"/>
            <w:vAlign w:val="center"/>
          </w:tcPr>
          <w:p>
            <w:pPr>
              <w:pStyle w:val="18"/>
              <w:adjustRightInd w:val="0"/>
              <w:snapToGrid w:val="0"/>
              <w:spacing w:before="0" w:beforeAutospacing="0" w:after="0" w:afterAutospacing="0"/>
              <w:rPr>
                <w:rFonts w:hint="eastAsia"/>
                <w:color w:val="auto"/>
                <w:sz w:val="21"/>
                <w:szCs w:val="21"/>
              </w:rPr>
            </w:pPr>
            <w:r>
              <w:rPr>
                <w:rFonts w:hint="eastAsia" w:cs="Arial"/>
                <w:color w:val="auto"/>
                <w:sz w:val="21"/>
                <w:szCs w:val="21"/>
              </w:rPr>
              <w:t>灭菌全程时间：</w:t>
            </w:r>
            <w:r>
              <w:rPr>
                <w:rFonts w:hint="eastAsia"/>
                <w:color w:val="auto"/>
                <w:sz w:val="21"/>
                <w:szCs w:val="21"/>
              </w:rPr>
              <w:t>≤</w:t>
            </w:r>
            <w:r>
              <w:rPr>
                <w:rFonts w:hint="eastAsia" w:cs="Arial"/>
                <w:color w:val="auto"/>
                <w:sz w:val="21"/>
                <w:szCs w:val="21"/>
              </w:rPr>
              <w:t>15小时。</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2.9</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338" w:type="dxa"/>
            <w:noWrap w:val="0"/>
            <w:vAlign w:val="center"/>
          </w:tcPr>
          <w:p>
            <w:pPr>
              <w:pStyle w:val="18"/>
              <w:adjustRightInd w:val="0"/>
              <w:snapToGrid w:val="0"/>
              <w:spacing w:before="0" w:beforeAutospacing="0" w:after="0" w:afterAutospacing="0"/>
              <w:rPr>
                <w:rFonts w:hint="eastAsia" w:cs="Arial"/>
                <w:color w:val="auto"/>
                <w:sz w:val="21"/>
                <w:szCs w:val="21"/>
              </w:rPr>
            </w:pPr>
            <w:r>
              <w:rPr>
                <w:rFonts w:hint="eastAsia" w:cs="Arial"/>
                <w:color w:val="auto"/>
                <w:sz w:val="21"/>
                <w:szCs w:val="21"/>
              </w:rPr>
              <w:t>生产厂家通过ISO9001、ISO13485、ISO14001认证。</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338"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338"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33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33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33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33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338"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12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53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12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53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1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338"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925"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12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533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92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33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33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33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4-1.</w:t>
      </w:r>
      <w:r>
        <w:rPr>
          <w:rFonts w:hint="eastAsia" w:ascii="方正小标宋简体" w:hAnsi="宋体" w:eastAsia="方正小标宋简体" w:cs="宋体"/>
          <w:bCs/>
          <w:color w:val="auto"/>
          <w:kern w:val="0"/>
          <w:sz w:val="44"/>
          <w:szCs w:val="44"/>
        </w:rPr>
        <w:t>高通量测序仪及数据存储传输</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体系（高通量测序仪）</w:t>
      </w:r>
      <w:r>
        <w:rPr>
          <w:rFonts w:hint="eastAsia" w:ascii="方正小标宋简体" w:hAnsi="宋体" w:eastAsia="方正小标宋简体" w:cs="宋体"/>
          <w:bCs/>
          <w:color w:val="auto"/>
          <w:kern w:val="0"/>
          <w:sz w:val="44"/>
          <w:szCs w:val="44"/>
          <w:lang w:eastAsia="zh-CN"/>
        </w:rPr>
        <w:t>技术要求</w:t>
      </w:r>
    </w:p>
    <w:tbl>
      <w:tblPr>
        <w:tblStyle w:val="20"/>
        <w:tblW w:w="9010" w:type="dxa"/>
        <w:tblInd w:w="-151" w:type="dxa"/>
        <w:tblLayout w:type="fixed"/>
        <w:tblCellMar>
          <w:top w:w="0" w:type="dxa"/>
          <w:left w:w="108" w:type="dxa"/>
          <w:bottom w:w="0" w:type="dxa"/>
          <w:right w:w="108" w:type="dxa"/>
        </w:tblCellMar>
      </w:tblPr>
      <w:tblGrid>
        <w:gridCol w:w="841"/>
        <w:gridCol w:w="2136"/>
        <w:gridCol w:w="5287"/>
        <w:gridCol w:w="746"/>
      </w:tblGrid>
      <w:tr>
        <w:tblPrEx>
          <w:tblCellMar>
            <w:top w:w="0" w:type="dxa"/>
            <w:left w:w="108" w:type="dxa"/>
            <w:bottom w:w="0" w:type="dxa"/>
            <w:right w:w="108" w:type="dxa"/>
          </w:tblCellMar>
        </w:tblPrEx>
        <w:trPr>
          <w:trHeight w:val="540" w:hRule="atLeast"/>
        </w:trPr>
        <w:tc>
          <w:tcPr>
            <w:tcW w:w="841"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幼圆" w:hAnsi="宋体" w:eastAsia="幼圆" w:cs="宋体"/>
                <w:b/>
                <w:bCs/>
                <w:kern w:val="0"/>
              </w:rPr>
            </w:pPr>
            <w:r>
              <w:rPr>
                <w:rFonts w:hint="eastAsia" w:ascii="幼圆" w:hAnsi="宋体" w:eastAsia="幼圆" w:cs="宋体"/>
                <w:b/>
                <w:bCs/>
                <w:kern w:val="0"/>
              </w:rPr>
              <w:t>序号</w:t>
            </w:r>
          </w:p>
        </w:tc>
        <w:tc>
          <w:tcPr>
            <w:tcW w:w="213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幼圆" w:hAnsi="宋体" w:eastAsia="幼圆" w:cs="宋体"/>
                <w:b/>
                <w:bCs/>
                <w:kern w:val="0"/>
              </w:rPr>
            </w:pPr>
            <w:r>
              <w:rPr>
                <w:rFonts w:hint="eastAsia" w:ascii="幼圆" w:hAnsi="宋体" w:eastAsia="幼圆" w:cs="宋体"/>
                <w:b/>
                <w:bCs/>
                <w:kern w:val="0"/>
              </w:rPr>
              <w:t>技术和性能参数名称</w:t>
            </w:r>
          </w:p>
        </w:tc>
        <w:tc>
          <w:tcPr>
            <w:tcW w:w="5287"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幼圆" w:hAnsi="宋体" w:eastAsia="幼圆" w:cs="宋体"/>
                <w:b/>
                <w:bCs/>
                <w:kern w:val="0"/>
              </w:rPr>
            </w:pPr>
            <w:r>
              <w:rPr>
                <w:rFonts w:hint="eastAsia" w:ascii="幼圆" w:hAnsi="宋体" w:eastAsia="幼圆" w:cs="宋体"/>
                <w:b/>
                <w:bCs/>
                <w:kern w:val="0"/>
              </w:rPr>
              <w:t>技术参数和性能要求</w:t>
            </w:r>
          </w:p>
        </w:tc>
        <w:tc>
          <w:tcPr>
            <w:tcW w:w="746"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幼圆" w:hAnsi="宋体" w:eastAsia="幼圆" w:cs="宋体"/>
                <w:b/>
                <w:bCs/>
                <w:kern w:val="0"/>
              </w:rPr>
            </w:pPr>
            <w:r>
              <w:rPr>
                <w:rFonts w:hint="eastAsia" w:ascii="幼圆" w:hAnsi="宋体" w:eastAsia="幼圆" w:cs="宋体"/>
                <w:b/>
                <w:bCs/>
                <w:kern w:val="0"/>
              </w:rPr>
              <w:t>备注</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r>
              <w:rPr>
                <w:rFonts w:hint="eastAsia" w:ascii="宋体" w:hAnsi="宋体" w:cs="宋体"/>
                <w:b/>
                <w:bCs/>
                <w:kern w:val="0"/>
              </w:rPr>
              <w:t>1</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r>
              <w:rPr>
                <w:rFonts w:hint="eastAsia" w:ascii="宋体" w:hAnsi="宋体" w:cs="宋体"/>
                <w:b/>
                <w:bCs/>
                <w:kern w:val="0"/>
              </w:rPr>
              <w:t>设备使用需求</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p>
        </w:tc>
      </w:tr>
      <w:tr>
        <w:tblPrEx>
          <w:tblCellMar>
            <w:top w:w="0" w:type="dxa"/>
            <w:left w:w="108" w:type="dxa"/>
            <w:bottom w:w="0" w:type="dxa"/>
            <w:right w:w="108" w:type="dxa"/>
          </w:tblCellMar>
        </w:tblPrEx>
        <w:trPr>
          <w:trHeight w:val="9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1.1</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设备用途</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both"/>
              <w:textAlignment w:val="auto"/>
              <w:rPr>
                <w:rFonts w:ascii="宋体" w:hAnsi="宋体" w:cs="宋体"/>
                <w:bCs/>
                <w:kern w:val="0"/>
                <w:sz w:val="21"/>
                <w:szCs w:val="21"/>
              </w:rPr>
            </w:pPr>
            <w:r>
              <w:rPr>
                <w:rFonts w:hint="eastAsia" w:ascii="宋体" w:hAnsi="宋体" w:cs="宋体"/>
                <w:bCs/>
                <w:kern w:val="0"/>
                <w:sz w:val="21"/>
                <w:szCs w:val="21"/>
              </w:rPr>
              <w:t>主要用于病原微生物的分析及高通量快速检测</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p>
        </w:tc>
      </w:tr>
      <w:tr>
        <w:tblPrEx>
          <w:tblCellMar>
            <w:top w:w="0" w:type="dxa"/>
            <w:left w:w="108" w:type="dxa"/>
            <w:bottom w:w="0" w:type="dxa"/>
            <w:right w:w="108" w:type="dxa"/>
          </w:tblCellMar>
        </w:tblPrEx>
        <w:trPr>
          <w:trHeight w:val="427" w:hRule="atLeast"/>
        </w:trPr>
        <w:tc>
          <w:tcPr>
            <w:tcW w:w="841"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1.2</w:t>
            </w:r>
          </w:p>
        </w:tc>
        <w:tc>
          <w:tcPr>
            <w:tcW w:w="213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实验对象</w:t>
            </w:r>
          </w:p>
        </w:tc>
        <w:tc>
          <w:tcPr>
            <w:tcW w:w="5287"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textAlignment w:val="auto"/>
              <w:rPr>
                <w:rFonts w:ascii="宋体" w:hAnsi="宋体" w:cs="宋体"/>
                <w:bCs/>
                <w:kern w:val="0"/>
                <w:sz w:val="21"/>
                <w:szCs w:val="21"/>
              </w:rPr>
            </w:pPr>
            <w:r>
              <w:rPr>
                <w:rFonts w:hint="eastAsia" w:ascii="宋体" w:hAnsi="宋体" w:cs="宋体"/>
                <w:bCs/>
                <w:kern w:val="0"/>
                <w:sz w:val="21"/>
                <w:szCs w:val="21"/>
              </w:rPr>
              <w:t>可疑感染标本</w:t>
            </w:r>
          </w:p>
        </w:tc>
        <w:tc>
          <w:tcPr>
            <w:tcW w:w="746"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Cs/>
                <w:kern w:val="0"/>
                <w:sz w:val="21"/>
                <w:szCs w:val="21"/>
              </w:rPr>
            </w:pPr>
            <w:r>
              <w:rPr>
                <w:rFonts w:hint="eastAsia" w:ascii="宋体" w:hAnsi="宋体" w:cs="宋体"/>
                <w:bCs/>
                <w:kern w:val="0"/>
                <w:sz w:val="21"/>
                <w:szCs w:val="21"/>
              </w:rPr>
              <w:t>1.3</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Cs/>
                <w:kern w:val="0"/>
                <w:sz w:val="21"/>
                <w:szCs w:val="21"/>
              </w:rPr>
            </w:pPr>
            <w:r>
              <w:rPr>
                <w:rFonts w:hint="eastAsia" w:ascii="宋体" w:hAnsi="宋体" w:cs="宋体"/>
                <w:bCs/>
                <w:kern w:val="0"/>
                <w:sz w:val="21"/>
                <w:szCs w:val="21"/>
              </w:rPr>
              <w:t>特殊功能需求</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textAlignment w:val="auto"/>
              <w:rPr>
                <w:rFonts w:ascii="宋体" w:hAnsi="宋体" w:cs="宋体"/>
                <w:bCs/>
                <w:kern w:val="0"/>
                <w:sz w:val="21"/>
                <w:szCs w:val="21"/>
              </w:rPr>
            </w:pPr>
            <w:r>
              <w:rPr>
                <w:rFonts w:hint="eastAsia" w:ascii="宋体" w:hAnsi="宋体" w:cs="宋体"/>
                <w:bCs/>
                <w:kern w:val="0"/>
                <w:sz w:val="21"/>
                <w:szCs w:val="21"/>
              </w:rPr>
              <w:t>测序设备可以满足一次性全面分析感染的细菌、真菌、病毒、寄生虫、支原体衣原体等病原微生物</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kern w:val="0"/>
              </w:rPr>
            </w:pPr>
            <w:r>
              <w:rPr>
                <w:rFonts w:hint="eastAsia" w:ascii="宋体" w:hAnsi="宋体" w:cs="宋体"/>
                <w:b/>
                <w:kern w:val="0"/>
              </w:rPr>
              <w:t>2</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sz w:val="21"/>
                <w:szCs w:val="21"/>
              </w:rPr>
            </w:pPr>
            <w:r>
              <w:rPr>
                <w:rFonts w:hint="eastAsia" w:ascii="宋体" w:hAnsi="宋体" w:cs="宋体"/>
                <w:b/>
                <w:bCs/>
                <w:kern w:val="0"/>
                <w:sz w:val="21"/>
                <w:szCs w:val="21"/>
              </w:rPr>
              <w:t>主要技术参数</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textAlignment w:val="auto"/>
              <w:rPr>
                <w:rFonts w:hint="eastAsia" w:ascii="宋体" w:hAnsi="宋体" w:cs="宋体"/>
                <w:kern w:val="0"/>
                <w:sz w:val="21"/>
                <w:szCs w:val="21"/>
              </w:rPr>
            </w:pP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p>
        </w:tc>
      </w:tr>
      <w:tr>
        <w:tblPrEx>
          <w:tblCellMar>
            <w:top w:w="0" w:type="dxa"/>
            <w:left w:w="108" w:type="dxa"/>
            <w:bottom w:w="0" w:type="dxa"/>
            <w:right w:w="108" w:type="dxa"/>
          </w:tblCellMar>
        </w:tblPrEx>
        <w:trPr>
          <w:trHeight w:val="1369"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2.1</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参数1</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采用规则阵列技术。配套试剂以及相关应用试剂包括样本释放剂，核酸提取试剂，基因组DNA片段化试剂，测序试剂应具备国家药品监督管理局认证</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551"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2.2</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参数2</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测序芯片可常温储存及使用，无需液态介质储存及使用。</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ascii="宋体" w:hAnsi="宋体" w:cs="宋体"/>
                <w:bCs/>
                <w:kern w:val="0"/>
                <w:sz w:val="21"/>
                <w:szCs w:val="21"/>
              </w:rPr>
            </w:pP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参数3</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提供并补足从样本提取、去宿主、建库、测序、数据分析等病原体高通量测序使用的全套平台及技术体系。</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ascii="宋体" w:hAnsi="宋体" w:cs="宋体"/>
                <w:bCs/>
                <w:kern w:val="0"/>
                <w:sz w:val="21"/>
                <w:szCs w:val="21"/>
              </w:rPr>
            </w:pPr>
          </w:p>
        </w:tc>
      </w:tr>
      <w:tr>
        <w:tblPrEx>
          <w:tblCellMar>
            <w:top w:w="0" w:type="dxa"/>
            <w:left w:w="108" w:type="dxa"/>
            <w:bottom w:w="0" w:type="dxa"/>
            <w:right w:w="108" w:type="dxa"/>
          </w:tblCellMar>
        </w:tblPrEx>
        <w:trPr>
          <w:trHeight w:val="494"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2.4</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参数4</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序列数目：芯片单次运行生成≥300M reads。</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ascii="宋体" w:hAnsi="宋体" w:cs="宋体"/>
                <w:bCs/>
                <w:kern w:val="0"/>
                <w:sz w:val="21"/>
                <w:szCs w:val="21"/>
              </w:rPr>
            </w:pPr>
          </w:p>
        </w:tc>
      </w:tr>
      <w:tr>
        <w:tblPrEx>
          <w:tblCellMar>
            <w:top w:w="0" w:type="dxa"/>
            <w:left w:w="108" w:type="dxa"/>
            <w:bottom w:w="0" w:type="dxa"/>
            <w:right w:w="108" w:type="dxa"/>
          </w:tblCellMar>
        </w:tblPrEx>
        <w:trPr>
          <w:trHeight w:val="483"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2.5</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参数5</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仪器单次运行最高可产出≥60G碱基的序列信息。</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2.6</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sz w:val="21"/>
                <w:szCs w:val="21"/>
              </w:rPr>
              <w:t>参数6</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可开展全外显子测序、宏基因组测序等科研应用，可开展未知病原微生物基因检测、单基因遗传病基因检测、遗传性肿瘤基因检测等临床应用。</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421"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2.7</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sz w:val="21"/>
                <w:szCs w:val="21"/>
              </w:rPr>
              <w:t>参数7</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序列读长：单双端50-100bp可选。</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398"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2.8</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sz w:val="21"/>
                <w:szCs w:val="21"/>
              </w:rPr>
              <w:t>参数8</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样本标签序列≥9个碱基（bp）。</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863"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2.9</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sz w:val="21"/>
                <w:szCs w:val="21"/>
              </w:rPr>
              <w:t>参数9</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可连续读取12个以上（如AAAAAAAAA）单个重复碱基序列信息。</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1091"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2.10</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参数10</w:t>
            </w:r>
          </w:p>
        </w:tc>
        <w:tc>
          <w:tcPr>
            <w:tcW w:w="5287" w:type="dxa"/>
            <w:tcBorders>
              <w:top w:val="nil"/>
              <w:left w:val="nil"/>
              <w:bottom w:val="single" w:color="auto" w:sz="4" w:space="0"/>
              <w:right w:val="single" w:color="auto" w:sz="4" w:space="0"/>
            </w:tcBorders>
            <w:noWrap w:val="0"/>
            <w:vAlign w:val="center"/>
          </w:tcPr>
          <w:p>
            <w:pPr>
              <w:pStyle w:val="4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bCs/>
                <w:kern w:val="0"/>
                <w:sz w:val="21"/>
                <w:szCs w:val="21"/>
              </w:rPr>
            </w:pPr>
            <w:r>
              <w:rPr>
                <w:rFonts w:hint="eastAsia" w:ascii="宋体" w:hAnsi="宋体" w:cs="宋体"/>
                <w:bCs/>
                <w:kern w:val="0"/>
                <w:sz w:val="21"/>
                <w:szCs w:val="21"/>
              </w:rPr>
              <w:t>运行时间：从文库加载到测序完成最快周期可达12小时内。</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466"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2.11</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参数11</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测序过程中无需PCR环节</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603"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2.12</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参数12</w:t>
            </w:r>
          </w:p>
        </w:tc>
        <w:tc>
          <w:tcPr>
            <w:tcW w:w="5287" w:type="dxa"/>
            <w:tcBorders>
              <w:top w:val="nil"/>
              <w:left w:val="nil"/>
              <w:bottom w:val="single" w:color="auto" w:sz="4" w:space="0"/>
              <w:right w:val="single" w:color="auto" w:sz="4" w:space="0"/>
            </w:tcBorders>
            <w:noWrap w:val="0"/>
            <w:vAlign w:val="center"/>
          </w:tcPr>
          <w:p>
            <w:pPr>
              <w:pStyle w:val="4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bCs/>
                <w:kern w:val="0"/>
                <w:sz w:val="21"/>
                <w:szCs w:val="21"/>
              </w:rPr>
            </w:pPr>
            <w:r>
              <w:rPr>
                <w:rFonts w:hint="eastAsia" w:ascii="宋体" w:hAnsi="宋体" w:cs="宋体"/>
                <w:bCs/>
                <w:kern w:val="0"/>
                <w:sz w:val="21"/>
                <w:szCs w:val="21"/>
              </w:rPr>
              <w:t>有线射频识别标记，可自动扫描试剂、芯片、样本。</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1091"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2.13</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参数13</w:t>
            </w:r>
          </w:p>
        </w:tc>
        <w:tc>
          <w:tcPr>
            <w:tcW w:w="5287" w:type="dxa"/>
            <w:tcBorders>
              <w:top w:val="nil"/>
              <w:left w:val="nil"/>
              <w:bottom w:val="single" w:color="auto" w:sz="4" w:space="0"/>
              <w:right w:val="single" w:color="auto" w:sz="4" w:space="0"/>
            </w:tcBorders>
            <w:noWrap w:val="0"/>
            <w:vAlign w:val="center"/>
          </w:tcPr>
          <w:p>
            <w:pPr>
              <w:pStyle w:val="49"/>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eastAsia" w:ascii="宋体" w:hAnsi="宋体" w:cs="宋体"/>
                <w:bCs/>
                <w:kern w:val="0"/>
                <w:sz w:val="21"/>
                <w:szCs w:val="21"/>
              </w:rPr>
            </w:pPr>
            <w:r>
              <w:rPr>
                <w:rFonts w:hint="eastAsia" w:ascii="宋体" w:hAnsi="宋体" w:cs="宋体"/>
                <w:bCs/>
                <w:kern w:val="0"/>
                <w:sz w:val="21"/>
                <w:szCs w:val="21"/>
              </w:rPr>
              <w:t>仪器适用海拔为 0-3</w:t>
            </w:r>
            <w:r>
              <w:rPr>
                <w:rFonts w:ascii="宋体" w:hAnsi="宋体" w:cs="宋体"/>
                <w:bCs/>
                <w:kern w:val="0"/>
                <w:sz w:val="21"/>
                <w:szCs w:val="21"/>
              </w:rPr>
              <w:t>5</w:t>
            </w:r>
            <w:r>
              <w:rPr>
                <w:rFonts w:hint="eastAsia" w:ascii="宋体" w:hAnsi="宋体" w:cs="宋体"/>
                <w:bCs/>
                <w:kern w:val="0"/>
                <w:sz w:val="21"/>
                <w:szCs w:val="21"/>
              </w:rPr>
              <w:t>00 米，在≤7级海况(抗振荡性强)下可以正常运行,可支持高海拔、低气压环境中也能开展检测服务项目。</w:t>
            </w:r>
            <w:bookmarkStart w:id="77" w:name="_GoBack"/>
            <w:bookmarkEnd w:id="77"/>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931"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2.14</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sz w:val="21"/>
                <w:szCs w:val="21"/>
              </w:rPr>
              <w:t>参数14</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bCs/>
                <w:kern w:val="0"/>
                <w:sz w:val="21"/>
                <w:szCs w:val="21"/>
              </w:rPr>
            </w:pPr>
            <w:r>
              <w:rPr>
                <w:rFonts w:hint="eastAsia" w:ascii="宋体" w:hAnsi="宋体" w:cs="宋体"/>
                <w:bCs/>
                <w:kern w:val="0"/>
                <w:sz w:val="21"/>
                <w:szCs w:val="21"/>
              </w:rPr>
              <w:t>仪器集成度：高度集成化，无需芯片前处理系统，无需借助其他设备即可独立完成测序过程。</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left"/>
              <w:textAlignment w:val="auto"/>
              <w:rPr>
                <w:rFonts w:hint="eastAsia" w:ascii="宋体" w:hAnsi="宋体" w:cs="宋体"/>
                <w:kern w:val="0"/>
                <w:sz w:val="21"/>
                <w:szCs w:val="21"/>
              </w:rPr>
            </w:pPr>
          </w:p>
        </w:tc>
      </w:tr>
      <w:tr>
        <w:tblPrEx>
          <w:tblCellMar>
            <w:top w:w="0" w:type="dxa"/>
            <w:left w:w="108" w:type="dxa"/>
            <w:bottom w:w="0" w:type="dxa"/>
            <w:right w:w="108" w:type="dxa"/>
          </w:tblCellMar>
        </w:tblPrEx>
        <w:trPr>
          <w:trHeight w:val="459"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b/>
                <w:kern w:val="0"/>
              </w:rPr>
              <w:t>3</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b/>
                <w:bCs/>
                <w:kern w:val="0"/>
                <w:sz w:val="21"/>
                <w:szCs w:val="21"/>
              </w:rPr>
              <w:t>配置需求</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olor w:val="000000"/>
                <w:sz w:val="21"/>
                <w:szCs w:val="21"/>
              </w:rPr>
            </w:pPr>
            <w:r>
              <w:rPr>
                <w:rFonts w:hint="eastAsia" w:ascii="宋体" w:hAnsi="宋体" w:cs="宋体"/>
                <w:kern w:val="0"/>
                <w:sz w:val="21"/>
                <w:szCs w:val="21"/>
              </w:rPr>
              <w:t>　</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459"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3.1</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sz w:val="21"/>
                <w:szCs w:val="21"/>
              </w:rPr>
              <w:t>配置1</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sz w:val="21"/>
                <w:szCs w:val="21"/>
              </w:rPr>
            </w:pPr>
            <w:r>
              <w:rPr>
                <w:rFonts w:hint="eastAsia" w:ascii="宋体" w:hAnsi="宋体" w:cs="宋体"/>
                <w:kern w:val="0"/>
                <w:sz w:val="21"/>
                <w:szCs w:val="21"/>
              </w:rPr>
              <w:t>基因测序仪</w:t>
            </w:r>
            <w:r>
              <w:rPr>
                <w:rFonts w:ascii="宋体" w:hAnsi="宋体" w:cs="宋体"/>
                <w:kern w:val="0"/>
                <w:sz w:val="21"/>
                <w:szCs w:val="21"/>
              </w:rPr>
              <w:t>主机一台</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485"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b/>
                <w:bCs/>
                <w:kern w:val="0"/>
              </w:rPr>
              <w:t>4</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b/>
                <w:bCs/>
                <w:kern w:val="0"/>
              </w:rPr>
              <w:t>售后服务</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olor w:val="000000"/>
                <w:sz w:val="21"/>
                <w:szCs w:val="21"/>
              </w:rPr>
            </w:pPr>
            <w:r>
              <w:rPr>
                <w:rFonts w:hint="eastAsia" w:ascii="宋体" w:hAnsi="宋体" w:cs="宋体"/>
                <w:b/>
                <w:bCs/>
                <w:kern w:val="0"/>
              </w:rPr>
              <w:t>　</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b/>
                <w:bCs/>
                <w:kern w:val="0"/>
              </w:rPr>
              <w:t>　</w:t>
            </w:r>
          </w:p>
        </w:tc>
      </w:tr>
      <w:tr>
        <w:tblPrEx>
          <w:tblCellMar>
            <w:top w:w="0" w:type="dxa"/>
            <w:left w:w="108" w:type="dxa"/>
            <w:bottom w:w="0" w:type="dxa"/>
            <w:right w:w="108" w:type="dxa"/>
          </w:tblCellMar>
        </w:tblPrEx>
        <w:trPr>
          <w:trHeight w:val="989"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4.1</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保修年限</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olor w:val="000000"/>
                <w:sz w:val="21"/>
                <w:szCs w:val="21"/>
              </w:rPr>
            </w:pPr>
            <w:r>
              <w:rPr>
                <w:rFonts w:hint="eastAsia" w:ascii="宋体" w:hAnsi="宋体" w:cs="宋体"/>
                <w:kern w:val="0"/>
              </w:rPr>
              <w:t>海外安装,海外维保≥3年</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4.2</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出现故障响应时间</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olor w:val="000000"/>
                <w:sz w:val="21"/>
                <w:szCs w:val="21"/>
              </w:rPr>
            </w:pPr>
            <w:r>
              <w:rPr>
                <w:rFonts w:hint="eastAsia" w:ascii="宋体" w:hAnsi="宋体" w:cs="宋体"/>
                <w:color w:val="000000"/>
                <w:kern w:val="0"/>
                <w:lang w:bidi="ar"/>
              </w:rPr>
              <w:t xml:space="preserve">维修响应时间≤ </w:t>
            </w:r>
            <w:r>
              <w:rPr>
                <w:rFonts w:ascii="宋体" w:hAnsi="宋体" w:cs="宋体"/>
                <w:color w:val="000000"/>
                <w:kern w:val="0"/>
                <w:lang w:bidi="ar"/>
              </w:rPr>
              <w:t>24</w:t>
            </w:r>
            <w:r>
              <w:rPr>
                <w:rFonts w:hint="eastAsia" w:ascii="宋体" w:hAnsi="宋体" w:cs="宋体"/>
                <w:color w:val="000000"/>
                <w:kern w:val="0"/>
                <w:lang w:bidi="ar"/>
              </w:rPr>
              <w:t>小时</w:t>
            </w:r>
            <w:r>
              <w:rPr>
                <w:rFonts w:hint="eastAsia" w:ascii="宋体" w:hAnsi="宋体" w:cs="宋体"/>
                <w:color w:val="000000"/>
                <w:kern w:val="0"/>
                <w:lang w:bidi="ar"/>
              </w:rPr>
              <w:br w:type="textWrapping"/>
            </w:r>
            <w:r>
              <w:rPr>
                <w:rFonts w:hint="eastAsia" w:ascii="宋体" w:hAnsi="宋体" w:cs="宋体"/>
                <w:color w:val="000000"/>
                <w:kern w:val="0"/>
                <w:lang w:bidi="ar"/>
              </w:rPr>
              <w:t>维修修复时间≤4</w:t>
            </w:r>
            <w:r>
              <w:rPr>
                <w:rFonts w:ascii="宋体" w:hAnsi="宋体" w:cs="宋体"/>
                <w:color w:val="000000"/>
                <w:kern w:val="0"/>
                <w:lang w:bidi="ar"/>
              </w:rPr>
              <w:t>5</w:t>
            </w:r>
            <w:r>
              <w:rPr>
                <w:rFonts w:hint="eastAsia" w:ascii="宋体" w:hAnsi="宋体" w:cs="宋体"/>
                <w:color w:val="000000"/>
                <w:kern w:val="0"/>
                <w:lang w:bidi="ar"/>
              </w:rPr>
              <w:t>天</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4.3</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维修支持</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olor w:val="000000"/>
                <w:sz w:val="21"/>
                <w:szCs w:val="21"/>
              </w:rPr>
            </w:pPr>
            <w:r>
              <w:rPr>
                <w:rFonts w:hint="eastAsia" w:ascii="宋体" w:hAnsi="宋体" w:cs="宋体"/>
                <w:kern w:val="0"/>
              </w:rPr>
              <w:t>配件供应时间≥10年</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4.4</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耗材及零配件</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olor w:val="000000"/>
                <w:sz w:val="21"/>
                <w:szCs w:val="21"/>
              </w:rPr>
            </w:pPr>
            <w:r>
              <w:rPr>
                <w:rFonts w:hint="eastAsia" w:ascii="宋体" w:hAnsi="宋体" w:cs="宋体"/>
                <w:kern w:val="0"/>
              </w:rPr>
              <w:t>提供耗材及主要零配件目录（含报价）</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4.5</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维修资料</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Arial"/>
                <w:color w:val="000000"/>
                <w:sz w:val="21"/>
                <w:szCs w:val="21"/>
              </w:rPr>
            </w:pPr>
            <w:r>
              <w:rPr>
                <w:rFonts w:hint="eastAsia" w:ascii="宋体" w:hAnsi="宋体" w:cs="宋体"/>
                <w:kern w:val="0"/>
              </w:rPr>
              <w:t>提供详细操作手册、维修保养手册、安装手册等</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kern w:val="0"/>
              </w:rPr>
            </w:pPr>
            <w:r>
              <w:rPr>
                <w:rFonts w:hint="eastAsia" w:ascii="宋体" w:hAnsi="宋体" w:cs="宋体"/>
                <w:kern w:val="0"/>
              </w:rPr>
              <w:t>4.6</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sz w:val="21"/>
                <w:szCs w:val="21"/>
              </w:rPr>
            </w:pPr>
            <w:r>
              <w:rPr>
                <w:rFonts w:hint="eastAsia" w:ascii="宋体" w:hAnsi="宋体" w:cs="宋体"/>
                <w:kern w:val="0"/>
              </w:rPr>
              <w:t>维修工具</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rPr>
              <w:t>提供维修专用工具1套</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4.7</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sz w:val="21"/>
                <w:szCs w:val="21"/>
              </w:rPr>
            </w:pPr>
            <w:r>
              <w:rPr>
                <w:rFonts w:hint="eastAsia" w:ascii="宋体" w:hAnsi="宋体" w:cs="宋体"/>
                <w:kern w:val="0"/>
              </w:rPr>
              <w:t>保修期内提供定期维护保养服务</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4.8</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sz w:val="21"/>
                <w:szCs w:val="21"/>
              </w:rPr>
            </w:pPr>
            <w:r>
              <w:rPr>
                <w:rFonts w:hint="eastAsia" w:ascii="宋体" w:hAnsi="宋体" w:cs="宋体"/>
                <w:kern w:val="0"/>
              </w:rPr>
              <w:t>维修密码支持</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rPr>
            </w:pPr>
            <w:r>
              <w:rPr>
                <w:rFonts w:hint="eastAsia" w:ascii="宋体" w:hAnsi="宋体" w:cs="宋体"/>
                <w:kern w:val="0"/>
              </w:rPr>
              <w:t>开放</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r>
              <w:rPr>
                <w:rFonts w:hint="eastAsia" w:ascii="宋体" w:hAnsi="宋体" w:cs="宋体"/>
                <w:kern w:val="0"/>
              </w:rPr>
              <w:t>4.9</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r>
              <w:rPr>
                <w:rFonts w:hint="eastAsia" w:ascii="宋体" w:hAnsi="宋体" w:cs="宋体"/>
                <w:kern w:val="0"/>
              </w:rPr>
              <w:t>升级</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r>
              <w:rPr>
                <w:rFonts w:hint="eastAsia" w:ascii="宋体" w:hAnsi="宋体" w:cs="宋体"/>
                <w:kern w:val="0"/>
              </w:rPr>
              <w:t>终身免费软件升级</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b/>
                <w:bCs/>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4.10</w:t>
            </w:r>
          </w:p>
        </w:tc>
        <w:tc>
          <w:tcPr>
            <w:tcW w:w="2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使用培训</w:t>
            </w:r>
          </w:p>
        </w:tc>
        <w:tc>
          <w:tcPr>
            <w:tcW w:w="5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支持</w:t>
            </w:r>
          </w:p>
        </w:tc>
        <w:tc>
          <w:tcPr>
            <w:tcW w:w="746"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1"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4.11</w:t>
            </w:r>
          </w:p>
        </w:tc>
        <w:tc>
          <w:tcPr>
            <w:tcW w:w="2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工程师培训</w:t>
            </w:r>
          </w:p>
        </w:tc>
        <w:tc>
          <w:tcPr>
            <w:tcW w:w="52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支持</w:t>
            </w:r>
          </w:p>
        </w:tc>
        <w:tc>
          <w:tcPr>
            <w:tcW w:w="746"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Chars="0"/>
              <w:jc w:val="center"/>
              <w:textAlignment w:val="auto"/>
              <w:rPr>
                <w:rFonts w:ascii="宋体" w:hAnsi="宋体" w:cs="宋体"/>
                <w:kern w:val="0"/>
              </w:rPr>
            </w:pPr>
            <w:r>
              <w:rPr>
                <w:rFonts w:hint="eastAsia" w:ascii="宋体" w:hAnsi="宋体" w:cs="宋体"/>
                <w:kern w:val="0"/>
              </w:rPr>
              <w:t>　</w:t>
            </w:r>
          </w:p>
        </w:tc>
      </w:tr>
    </w:tbl>
    <w:p>
      <w:pPr>
        <w:rPr>
          <w:rFonts w:hint="eastAsia" w:ascii="方正小标宋简体" w:hAnsi="宋体" w:eastAsia="方正小标宋简体" w:cs="宋体"/>
          <w:bCs/>
          <w:color w:val="auto"/>
          <w:kern w:val="0"/>
          <w:sz w:val="44"/>
          <w:szCs w:val="44"/>
          <w:lang w:val="en-US" w:eastAsia="zh-CN"/>
        </w:rPr>
      </w:pPr>
    </w:p>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4-2.</w:t>
      </w:r>
      <w:r>
        <w:rPr>
          <w:rFonts w:hint="eastAsia" w:ascii="方正小标宋简体" w:hAnsi="宋体" w:eastAsia="方正小标宋简体" w:cs="宋体"/>
          <w:bCs/>
          <w:color w:val="auto"/>
          <w:kern w:val="0"/>
          <w:sz w:val="44"/>
          <w:szCs w:val="44"/>
        </w:rPr>
        <w:t>高通量测序仪及数据存储传输</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体系（服务器）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44"/>
        <w:gridCol w:w="5129"/>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9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29" w:type="dxa"/>
            <w:noWrap w:val="0"/>
            <w:vAlign w:val="center"/>
          </w:tcPr>
          <w:p>
            <w:pPr>
              <w:widowControl/>
              <w:spacing w:line="240" w:lineRule="auto"/>
              <w:jc w:val="center"/>
              <w:rPr>
                <w:rFonts w:ascii="宋体" w:hAnsi="宋体" w:cs="宋体"/>
                <w:b/>
                <w:bCs/>
                <w:color w:val="auto"/>
                <w:kern w:val="0"/>
              </w:rPr>
            </w:pP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29"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测序检测分析系统配套服务器，用于存储数据及安装分析软件。</w:t>
            </w: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29"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测序数据</w:t>
            </w:r>
          </w:p>
        </w:tc>
        <w:tc>
          <w:tcPr>
            <w:tcW w:w="89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29"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29" w:type="dxa"/>
            <w:noWrap w:val="0"/>
            <w:vAlign w:val="center"/>
          </w:tcPr>
          <w:p>
            <w:pPr>
              <w:widowControl/>
              <w:spacing w:line="240" w:lineRule="auto"/>
              <w:jc w:val="center"/>
              <w:rPr>
                <w:rFonts w:ascii="宋体" w:hAnsi="宋体" w:cs="宋体"/>
                <w:color w:val="auto"/>
                <w:kern w:val="0"/>
                <w:sz w:val="21"/>
                <w:szCs w:val="21"/>
              </w:rPr>
            </w:pP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12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配置不低于2x 英特尔至强金牌 6138 2.0G，20C/40T，10、4GT/s,27M缓存，Turbo,HT(125W)DDR4-2666；</w:t>
            </w:r>
          </w:p>
        </w:tc>
        <w:tc>
          <w:tcPr>
            <w:tcW w:w="89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129" w:type="dxa"/>
            <w:noWrap w:val="0"/>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支持设备安装调试及分析流程部署搭建</w:t>
            </w:r>
          </w:p>
        </w:tc>
        <w:tc>
          <w:tcPr>
            <w:tcW w:w="896"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12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配套机箱。</w:t>
            </w:r>
          </w:p>
        </w:tc>
        <w:tc>
          <w:tcPr>
            <w:tcW w:w="896"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512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能够提供3C 认证。</w:t>
            </w:r>
          </w:p>
        </w:tc>
        <w:tc>
          <w:tcPr>
            <w:tcW w:w="89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12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129" w:type="dxa"/>
            <w:noWrap w:val="0"/>
            <w:vAlign w:val="center"/>
          </w:tcPr>
          <w:p>
            <w:pPr>
              <w:widowControl/>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主机一台</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bCs/>
                <w:color w:val="auto"/>
                <w:kern w:val="0"/>
              </w:rPr>
              <w:t>4</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1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129"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rPr>
              <w:t>海外安装,海外维保≥3年</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129" w:type="dxa"/>
            <w:noWrap w:val="0"/>
            <w:vAlign w:val="center"/>
          </w:tcPr>
          <w:p>
            <w:pPr>
              <w:widowControl/>
              <w:spacing w:line="240" w:lineRule="auto"/>
              <w:jc w:val="center"/>
              <w:rPr>
                <w:rFonts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1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1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1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提供详细操作手册、维修保养手册、安装手册等</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4.6</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维修工具</w:t>
            </w:r>
          </w:p>
        </w:tc>
        <w:tc>
          <w:tcPr>
            <w:tcW w:w="51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提供维修专用工具1套</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29"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保修期内提供定期维护保养服务</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4.8</w:t>
            </w:r>
          </w:p>
        </w:tc>
        <w:tc>
          <w:tcPr>
            <w:tcW w:w="21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维修密码支持</w:t>
            </w:r>
          </w:p>
        </w:tc>
        <w:tc>
          <w:tcPr>
            <w:tcW w:w="51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开放</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升级</w:t>
            </w:r>
          </w:p>
        </w:tc>
        <w:tc>
          <w:tcPr>
            <w:tcW w:w="51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终身免费软件升级</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4.10</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使用培训</w:t>
            </w:r>
          </w:p>
        </w:tc>
        <w:tc>
          <w:tcPr>
            <w:tcW w:w="5129"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4.11</w:t>
            </w:r>
          </w:p>
        </w:tc>
        <w:tc>
          <w:tcPr>
            <w:tcW w:w="21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工程师培训</w:t>
            </w:r>
          </w:p>
        </w:tc>
        <w:tc>
          <w:tcPr>
            <w:tcW w:w="51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4-3.</w:t>
      </w:r>
      <w:r>
        <w:rPr>
          <w:rFonts w:hint="eastAsia" w:ascii="方正小标宋简体" w:hAnsi="宋体" w:eastAsia="方正小标宋简体" w:cs="宋体"/>
          <w:bCs/>
          <w:color w:val="auto"/>
          <w:kern w:val="0"/>
          <w:sz w:val="44"/>
          <w:szCs w:val="44"/>
        </w:rPr>
        <w:t>高通量测序仪及数据存储传输体系（分析</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管理系统和智能化报告系统）</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78"/>
        <w:gridCol w:w="508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7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08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7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081" w:type="dxa"/>
            <w:noWrap w:val="0"/>
            <w:vAlign w:val="center"/>
          </w:tcPr>
          <w:p>
            <w:pPr>
              <w:widowControl/>
              <w:spacing w:line="240" w:lineRule="auto"/>
              <w:jc w:val="center"/>
              <w:rPr>
                <w:rFonts w:ascii="宋体" w:hAnsi="宋体" w:cs="宋体"/>
                <w:b/>
                <w:bCs/>
                <w:color w:val="auto"/>
                <w:kern w:val="0"/>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7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081"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测序检测分析系统配套软件，用于分析测序数据及出具分析报告。</w:t>
            </w: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78"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081"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1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78"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081"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78"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081" w:type="dxa"/>
            <w:noWrap w:val="0"/>
            <w:vAlign w:val="center"/>
          </w:tcPr>
          <w:p>
            <w:pPr>
              <w:widowControl/>
              <w:spacing w:line="240" w:lineRule="auto"/>
              <w:jc w:val="center"/>
              <w:rPr>
                <w:rFonts w:ascii="宋体" w:hAnsi="宋体" w:cs="宋体"/>
                <w:color w:val="auto"/>
                <w:kern w:val="0"/>
                <w:sz w:val="21"/>
                <w:szCs w:val="21"/>
              </w:rPr>
            </w:pP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7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081"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无需连接外部网络，直接连接医院局域网即可使用。</w:t>
            </w:r>
          </w:p>
        </w:tc>
        <w:tc>
          <w:tcPr>
            <w:tcW w:w="91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081"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自动从测序仪获取下机的测序数据。</w:t>
            </w:r>
          </w:p>
        </w:tc>
        <w:tc>
          <w:tcPr>
            <w:tcW w:w="91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081"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能够完成自动化报告解。</w:t>
            </w:r>
          </w:p>
        </w:tc>
        <w:tc>
          <w:tcPr>
            <w:tcW w:w="91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5081"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全自动化的数据获取和分析流程。</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5081"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可以进行多样本的并行分析。</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081" w:type="dxa"/>
            <w:noWrap w:val="0"/>
            <w:vAlign w:val="center"/>
          </w:tcPr>
          <w:p>
            <w:pPr>
              <w:widowControl/>
              <w:spacing w:line="240" w:lineRule="auto"/>
              <w:jc w:val="center"/>
              <w:rPr>
                <w:rFonts w:hint="eastAsia" w:ascii="宋体" w:hAnsi="宋体" w:cs="宋体"/>
                <w:bCs/>
                <w:color w:val="auto"/>
                <w:kern w:val="0"/>
                <w:sz w:val="21"/>
                <w:szCs w:val="21"/>
              </w:rPr>
            </w:pPr>
            <w:r>
              <w:rPr>
                <w:rFonts w:hint="eastAsia" w:ascii="宋体" w:hAnsi="宋体" w:cs="宋体"/>
                <w:color w:val="auto"/>
                <w:kern w:val="0"/>
                <w:sz w:val="21"/>
                <w:szCs w:val="21"/>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081" w:type="dxa"/>
            <w:noWrap w:val="0"/>
            <w:vAlign w:val="center"/>
          </w:tcPr>
          <w:p>
            <w:pPr>
              <w:widowControl/>
              <w:spacing w:line="240" w:lineRule="auto"/>
              <w:jc w:val="center"/>
              <w:rPr>
                <w:rFonts w:hint="eastAsia" w:ascii="宋体" w:hAnsi="宋体"/>
                <w:color w:val="auto"/>
                <w:sz w:val="21"/>
                <w:szCs w:val="21"/>
              </w:rPr>
            </w:pPr>
            <w:r>
              <w:rPr>
                <w:rFonts w:hint="eastAsia"/>
                <w:color w:val="auto"/>
                <w:sz w:val="21"/>
                <w:szCs w:val="21"/>
              </w:rPr>
              <w:t>分析软件一套</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081" w:type="dxa"/>
            <w:noWrap w:val="0"/>
            <w:vAlign w:val="center"/>
          </w:tcPr>
          <w:p>
            <w:pPr>
              <w:widowControl/>
              <w:spacing w:line="240" w:lineRule="auto"/>
              <w:jc w:val="center"/>
              <w:rPr>
                <w:color w:val="auto"/>
                <w:sz w:val="21"/>
                <w:szCs w:val="21"/>
              </w:rPr>
            </w:pPr>
            <w:r>
              <w:rPr>
                <w:rFonts w:hint="eastAsia" w:ascii="宋体" w:hAnsi="宋体" w:cs="宋体"/>
                <w:b/>
                <w:bCs/>
                <w:color w:val="auto"/>
                <w:kern w:val="0"/>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081" w:type="dxa"/>
            <w:noWrap w:val="0"/>
            <w:vAlign w:val="center"/>
          </w:tcPr>
          <w:p>
            <w:pPr>
              <w:widowControl/>
              <w:spacing w:line="240" w:lineRule="auto"/>
              <w:jc w:val="center"/>
              <w:rPr>
                <w:rFonts w:ascii="宋体" w:hAnsi="宋体"/>
                <w:color w:val="auto"/>
                <w:sz w:val="21"/>
                <w:szCs w:val="21"/>
              </w:rPr>
            </w:pPr>
            <w:r>
              <w:rPr>
                <w:rFonts w:hint="eastAsia" w:ascii="宋体" w:hAnsi="宋体" w:cs="宋体"/>
                <w:color w:val="auto"/>
                <w:kern w:val="0"/>
              </w:rPr>
              <w:t>海外安装,海外维保≥3年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081"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081"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081"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081"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提供详细操作手册、维修保养手册、安装手册等</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4.6</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维修工具</w:t>
            </w:r>
          </w:p>
        </w:tc>
        <w:tc>
          <w:tcPr>
            <w:tcW w:w="5081"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提供维修专用工具1套</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4.7</w:t>
            </w:r>
          </w:p>
        </w:tc>
        <w:tc>
          <w:tcPr>
            <w:tcW w:w="2178"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08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17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维修密码支持</w:t>
            </w:r>
          </w:p>
        </w:tc>
        <w:tc>
          <w:tcPr>
            <w:tcW w:w="508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开放</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4.9</w:t>
            </w:r>
          </w:p>
        </w:tc>
        <w:tc>
          <w:tcPr>
            <w:tcW w:w="21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升级</w:t>
            </w:r>
          </w:p>
        </w:tc>
        <w:tc>
          <w:tcPr>
            <w:tcW w:w="5081"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终身免费软件升级</w:t>
            </w:r>
          </w:p>
        </w:tc>
        <w:tc>
          <w:tcPr>
            <w:tcW w:w="91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4.10</w:t>
            </w:r>
          </w:p>
        </w:tc>
        <w:tc>
          <w:tcPr>
            <w:tcW w:w="217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使用培训</w:t>
            </w:r>
          </w:p>
        </w:tc>
        <w:tc>
          <w:tcPr>
            <w:tcW w:w="508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08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4-4.</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（病原专业数据库）</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171"/>
        <w:gridCol w:w="530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7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30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7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305" w:type="dxa"/>
            <w:noWrap w:val="0"/>
            <w:vAlign w:val="center"/>
          </w:tcPr>
          <w:p>
            <w:pPr>
              <w:widowControl/>
              <w:spacing w:line="240" w:lineRule="auto"/>
              <w:jc w:val="center"/>
              <w:rPr>
                <w:rFonts w:ascii="宋体" w:hAnsi="宋体" w:cs="宋体"/>
                <w:b/>
                <w:bCs/>
                <w:color w:val="auto"/>
                <w:kern w:val="0"/>
              </w:rPr>
            </w:pP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1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7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30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测序检测分析系统配套数据库，用于匹配数据，分析病原。</w:t>
            </w: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3"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7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30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测序数据</w:t>
            </w:r>
          </w:p>
        </w:tc>
        <w:tc>
          <w:tcPr>
            <w:tcW w:w="8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7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305"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7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305" w:type="dxa"/>
            <w:noWrap w:val="0"/>
            <w:vAlign w:val="center"/>
          </w:tcPr>
          <w:p>
            <w:pPr>
              <w:widowControl/>
              <w:spacing w:line="240" w:lineRule="auto"/>
              <w:jc w:val="center"/>
              <w:rPr>
                <w:rFonts w:ascii="宋体" w:hAnsi="宋体" w:cs="宋体"/>
                <w:color w:val="auto"/>
                <w:kern w:val="0"/>
                <w:sz w:val="21"/>
                <w:szCs w:val="21"/>
              </w:rPr>
            </w:pP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01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7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30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数据库包括：①超过10 万种菌毒株基因组科研数据库；②超过18000 种病原体的种级别数据库；③耐药基因数据库和种毒力因子数据库</w:t>
            </w:r>
          </w:p>
        </w:tc>
        <w:tc>
          <w:tcPr>
            <w:tcW w:w="85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30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提供输入性、新发突发病原体发现、鉴定、突变与全基因组学进化分析；</w:t>
            </w:r>
          </w:p>
        </w:tc>
        <w:tc>
          <w:tcPr>
            <w:tcW w:w="856"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30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每季度结合科研和临床最新信息，从完整性，多样性等方面进行数据库的更新和维护升级</w:t>
            </w:r>
          </w:p>
        </w:tc>
        <w:tc>
          <w:tcPr>
            <w:tcW w:w="856"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13"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30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30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30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17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530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17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30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1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530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5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17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530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7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30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7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30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4-5.</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（手持研磨器）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8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4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84" w:type="dxa"/>
            <w:noWrap w:val="0"/>
            <w:vAlign w:val="center"/>
          </w:tcPr>
          <w:p>
            <w:pPr>
              <w:widowControl/>
              <w:spacing w:line="240" w:lineRule="auto"/>
              <w:jc w:val="center"/>
              <w:rPr>
                <w:rFonts w:ascii="宋体" w:hAnsi="宋体" w:cs="宋体"/>
                <w:b/>
                <w:bCs/>
                <w:color w:val="auto"/>
                <w:kern w:val="0"/>
              </w:rPr>
            </w:pPr>
          </w:p>
        </w:tc>
        <w:tc>
          <w:tcPr>
            <w:tcW w:w="94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8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配套测序检测分析系统，用于样品破碎前处理。</w:t>
            </w:r>
          </w:p>
        </w:tc>
        <w:tc>
          <w:tcPr>
            <w:tcW w:w="94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84"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41"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84"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4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584" w:type="dxa"/>
            <w:noWrap w:val="0"/>
            <w:vAlign w:val="center"/>
          </w:tcPr>
          <w:p>
            <w:pPr>
              <w:widowControl/>
              <w:spacing w:line="240" w:lineRule="auto"/>
              <w:jc w:val="center"/>
              <w:rPr>
                <w:rFonts w:ascii="宋体" w:hAnsi="宋体" w:cs="宋体"/>
                <w:color w:val="auto"/>
                <w:kern w:val="0"/>
                <w:sz w:val="21"/>
                <w:szCs w:val="21"/>
              </w:rPr>
            </w:pPr>
          </w:p>
        </w:tc>
        <w:tc>
          <w:tcPr>
            <w:tcW w:w="94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84" w:type="dxa"/>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转速要求≥11000rpm</w:t>
            </w:r>
          </w:p>
        </w:tc>
        <w:tc>
          <w:tcPr>
            <w:tcW w:w="941"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584" w:type="dxa"/>
            <w:noWrap w:val="0"/>
            <w:vAlign w:val="center"/>
          </w:tcPr>
          <w:p>
            <w:pPr>
              <w:jc w:val="left"/>
              <w:rPr>
                <w:rFonts w:hint="eastAsia" w:ascii="宋体" w:hAnsi="宋体" w:cs="宋体"/>
                <w:bCs/>
                <w:color w:val="auto"/>
                <w:kern w:val="0"/>
                <w:sz w:val="21"/>
                <w:szCs w:val="21"/>
              </w:rPr>
            </w:pPr>
            <w:r>
              <w:rPr>
                <w:rFonts w:hint="eastAsia" w:ascii="宋体" w:hAnsi="宋体" w:cs="宋体"/>
                <w:bCs/>
                <w:color w:val="auto"/>
                <w:kern w:val="0"/>
                <w:sz w:val="21"/>
                <w:szCs w:val="21"/>
              </w:rPr>
              <w:t>电源为可充电电池</w:t>
            </w:r>
          </w:p>
        </w:tc>
        <w:tc>
          <w:tcPr>
            <w:tcW w:w="941"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584" w:type="dxa"/>
            <w:noWrap w:val="0"/>
            <w:vAlign w:val="center"/>
          </w:tcPr>
          <w:p>
            <w:pPr>
              <w:jc w:val="left"/>
              <w:rPr>
                <w:rFonts w:hint="eastAsia" w:ascii="宋体" w:hAnsi="宋体" w:cs="宋体"/>
                <w:color w:val="auto"/>
              </w:rPr>
            </w:pPr>
            <w:r>
              <w:rPr>
                <w:rFonts w:hint="eastAsia" w:ascii="宋体" w:hAnsi="宋体" w:cs="宋体"/>
                <w:color w:val="auto"/>
              </w:rPr>
              <w:t>噪音要求≤65（db）</w:t>
            </w:r>
          </w:p>
        </w:tc>
        <w:tc>
          <w:tcPr>
            <w:tcW w:w="941"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58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color w:val="auto"/>
                <w:kern w:val="0"/>
                <w:sz w:val="21"/>
                <w:szCs w:val="21"/>
              </w:rPr>
              <w:t>　</w:t>
            </w:r>
          </w:p>
        </w:tc>
        <w:tc>
          <w:tcPr>
            <w:tcW w:w="941" w:type="dxa"/>
            <w:noWrap w:val="0"/>
            <w:vAlign w:val="center"/>
          </w:tcPr>
          <w:p>
            <w:pPr>
              <w:widowControl/>
              <w:spacing w:line="240" w:lineRule="auto"/>
              <w:jc w:val="center"/>
              <w:rPr>
                <w:color w:val="auto"/>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584" w:type="dxa"/>
            <w:noWrap w:val="0"/>
            <w:vAlign w:val="center"/>
          </w:tcPr>
          <w:p>
            <w:pPr>
              <w:widowControl/>
              <w:spacing w:line="240" w:lineRule="auto"/>
              <w:jc w:val="center"/>
              <w:rPr>
                <w:rFonts w:hint="eastAsia" w:ascii="宋体" w:hAnsi="宋体" w:cs="宋体"/>
                <w:bCs/>
                <w:color w:val="auto"/>
                <w:kern w:val="0"/>
                <w:sz w:val="21"/>
                <w:szCs w:val="21"/>
              </w:rPr>
            </w:pPr>
            <w:r>
              <w:rPr>
                <w:rFonts w:ascii="宋体" w:hAnsi="宋体" w:cs="宋体"/>
                <w:color w:val="auto"/>
                <w:kern w:val="0"/>
                <w:sz w:val="21"/>
                <w:szCs w:val="21"/>
              </w:rPr>
              <w:t>主机一台</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584" w:type="dxa"/>
            <w:noWrap w:val="0"/>
            <w:vAlign w:val="center"/>
          </w:tcPr>
          <w:p>
            <w:pPr>
              <w:widowControl/>
              <w:spacing w:line="240" w:lineRule="auto"/>
              <w:jc w:val="center"/>
              <w:rPr>
                <w:rFonts w:hint="eastAsia" w:ascii="宋体" w:hAnsi="宋体" w:cs="宋体"/>
                <w:bCs/>
                <w:color w:val="auto"/>
                <w:kern w:val="0"/>
                <w:sz w:val="21"/>
                <w:szCs w:val="21"/>
              </w:rPr>
            </w:pPr>
            <w:r>
              <w:rPr>
                <w:rFonts w:hint="eastAsia" w:ascii="宋体" w:hAnsi="宋体" w:cs="宋体"/>
                <w:b/>
                <w:bCs/>
                <w:color w:val="auto"/>
                <w:kern w:val="0"/>
              </w:rPr>
              <w:t>　</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584" w:type="dxa"/>
            <w:noWrap w:val="0"/>
            <w:vAlign w:val="center"/>
          </w:tcPr>
          <w:p>
            <w:pPr>
              <w:widowControl/>
              <w:spacing w:line="240" w:lineRule="auto"/>
              <w:jc w:val="center"/>
              <w:rPr>
                <w:rFonts w:hint="eastAsia" w:ascii="宋体" w:hAnsi="宋体" w:cs="宋体"/>
                <w:bCs/>
                <w:color w:val="auto"/>
                <w:kern w:val="0"/>
                <w:sz w:val="21"/>
                <w:szCs w:val="21"/>
              </w:rPr>
            </w:pPr>
            <w:r>
              <w:rPr>
                <w:rFonts w:hint="eastAsia" w:ascii="宋体" w:hAnsi="宋体" w:cs="宋体"/>
                <w:color w:val="auto"/>
                <w:kern w:val="0"/>
              </w:rPr>
              <w:t>海外安装,海外维保≥3年</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584"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rPr>
              <w:t>配件供应时间≥10年</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584" w:type="dxa"/>
            <w:noWrap w:val="0"/>
            <w:vAlign w:val="center"/>
          </w:tcPr>
          <w:p>
            <w:pPr>
              <w:widowControl/>
              <w:spacing w:line="240" w:lineRule="auto"/>
              <w:jc w:val="center"/>
              <w:rPr>
                <w:rFonts w:ascii="宋体" w:hAnsi="宋体"/>
                <w:color w:val="auto"/>
                <w:sz w:val="21"/>
                <w:szCs w:val="21"/>
              </w:rPr>
            </w:pPr>
            <w:r>
              <w:rPr>
                <w:rFonts w:hint="eastAsia" w:ascii="宋体" w:hAnsi="宋体" w:cs="宋体"/>
                <w:color w:val="auto"/>
                <w:kern w:val="0"/>
              </w:rPr>
              <w:t>提供耗材及主要零配件目录（含报价）</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提供详细操作手册、维修保养手册、安装手册等</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维修工具</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提供维修专用工具1套</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保修期内提供定期维护保养服务</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开放</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升级</w:t>
            </w:r>
          </w:p>
        </w:tc>
        <w:tc>
          <w:tcPr>
            <w:tcW w:w="4584"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终身免费软件升级</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使用培训</w:t>
            </w:r>
          </w:p>
        </w:tc>
        <w:tc>
          <w:tcPr>
            <w:tcW w:w="458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94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工程师培训</w:t>
            </w:r>
          </w:p>
        </w:tc>
        <w:tc>
          <w:tcPr>
            <w:tcW w:w="458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94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4-6.</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（恒温金属浴加热器）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7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70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1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706" w:type="dxa"/>
            <w:noWrap w:val="0"/>
            <w:vAlign w:val="center"/>
          </w:tcPr>
          <w:p>
            <w:pPr>
              <w:widowControl/>
              <w:spacing w:line="240" w:lineRule="auto"/>
              <w:jc w:val="center"/>
              <w:rPr>
                <w:rFonts w:ascii="宋体" w:hAnsi="宋体" w:cs="宋体"/>
                <w:b/>
                <w:bCs/>
                <w:color w:val="auto"/>
                <w:kern w:val="0"/>
              </w:rPr>
            </w:pPr>
          </w:p>
        </w:tc>
        <w:tc>
          <w:tcPr>
            <w:tcW w:w="81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706"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配套测序检测分析系统，用于样品保存，微型样本管加热孵育等。</w:t>
            </w:r>
          </w:p>
        </w:tc>
        <w:tc>
          <w:tcPr>
            <w:tcW w:w="81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706"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819"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706"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81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706" w:type="dxa"/>
            <w:noWrap w:val="0"/>
            <w:vAlign w:val="center"/>
          </w:tcPr>
          <w:p>
            <w:pPr>
              <w:widowControl/>
              <w:spacing w:line="240" w:lineRule="auto"/>
              <w:jc w:val="center"/>
              <w:rPr>
                <w:rFonts w:ascii="宋体" w:hAnsi="宋体" w:cs="宋体"/>
                <w:color w:val="auto"/>
                <w:kern w:val="0"/>
                <w:sz w:val="21"/>
                <w:szCs w:val="21"/>
              </w:rPr>
            </w:pPr>
          </w:p>
        </w:tc>
        <w:tc>
          <w:tcPr>
            <w:tcW w:w="81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70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温度控制范围：室温+5℃~100℃</w:t>
            </w:r>
          </w:p>
        </w:tc>
        <w:tc>
          <w:tcPr>
            <w:tcW w:w="81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70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可配套35×1.5ml离心管</w:t>
            </w:r>
          </w:p>
        </w:tc>
        <w:tc>
          <w:tcPr>
            <w:tcW w:w="819"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706"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升温时间（从25℃升至100℃）≤12min</w:t>
            </w:r>
          </w:p>
        </w:tc>
        <w:tc>
          <w:tcPr>
            <w:tcW w:w="819"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706" w:type="dxa"/>
            <w:noWrap w:val="0"/>
            <w:vAlign w:val="center"/>
          </w:tcPr>
          <w:p>
            <w:pPr>
              <w:widowControl/>
              <w:spacing w:line="240" w:lineRule="auto"/>
              <w:jc w:val="left"/>
              <w:rPr>
                <w:rFonts w:hint="eastAsia" w:ascii="宋体" w:hAnsi="宋体" w:cs="宋体"/>
                <w:bCs/>
                <w:color w:val="auto"/>
                <w:kern w:val="0"/>
                <w:sz w:val="21"/>
                <w:szCs w:val="21"/>
              </w:rPr>
            </w:pPr>
            <w:r>
              <w:rPr>
                <w:rFonts w:ascii="宋体" w:hAnsi="宋体" w:cs="宋体"/>
                <w:bCs/>
                <w:color w:val="auto"/>
                <w:kern w:val="0"/>
                <w:sz w:val="21"/>
                <w:szCs w:val="21"/>
              </w:rPr>
              <w:t>时间设置：最长99h59min</w:t>
            </w:r>
          </w:p>
        </w:tc>
        <w:tc>
          <w:tcPr>
            <w:tcW w:w="81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706"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706"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706"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7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7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706"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1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70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1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70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70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4-7.</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（恒温混匀仪）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2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2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0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23" w:type="dxa"/>
            <w:noWrap w:val="0"/>
            <w:vAlign w:val="center"/>
          </w:tcPr>
          <w:p>
            <w:pPr>
              <w:widowControl/>
              <w:spacing w:line="240" w:lineRule="auto"/>
              <w:jc w:val="center"/>
              <w:rPr>
                <w:rFonts w:ascii="宋体" w:hAnsi="宋体" w:cs="宋体"/>
                <w:b/>
                <w:bCs/>
                <w:color w:val="auto"/>
                <w:kern w:val="0"/>
              </w:rPr>
            </w:pPr>
          </w:p>
        </w:tc>
        <w:tc>
          <w:tcPr>
            <w:tcW w:w="902"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23"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配套测序检测分析系统，混匀微型样品管，对样本进行加热孵育、催化。</w:t>
            </w:r>
          </w:p>
        </w:tc>
        <w:tc>
          <w:tcPr>
            <w:tcW w:w="902"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23"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02"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23"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02"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623" w:type="dxa"/>
            <w:noWrap w:val="0"/>
            <w:vAlign w:val="center"/>
          </w:tcPr>
          <w:p>
            <w:pPr>
              <w:widowControl/>
              <w:spacing w:line="240" w:lineRule="auto"/>
              <w:jc w:val="center"/>
              <w:rPr>
                <w:rFonts w:ascii="宋体" w:hAnsi="宋体" w:cs="宋体"/>
                <w:color w:val="auto"/>
                <w:kern w:val="0"/>
                <w:sz w:val="21"/>
                <w:szCs w:val="21"/>
              </w:rPr>
            </w:pPr>
          </w:p>
        </w:tc>
        <w:tc>
          <w:tcPr>
            <w:tcW w:w="902"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23"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温度控制范围：室温+5℃~100℃</w:t>
            </w:r>
          </w:p>
        </w:tc>
        <w:tc>
          <w:tcPr>
            <w:tcW w:w="902"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23" w:type="dxa"/>
            <w:noWrap w:val="0"/>
            <w:vAlign w:val="center"/>
          </w:tcPr>
          <w:p>
            <w:pPr>
              <w:jc w:val="left"/>
              <w:rPr>
                <w:rFonts w:hint="eastAsia" w:ascii="宋体" w:hAnsi="宋体" w:cs="宋体"/>
                <w:bCs/>
                <w:color w:val="auto"/>
                <w:kern w:val="0"/>
                <w:sz w:val="21"/>
                <w:szCs w:val="21"/>
              </w:rPr>
            </w:pPr>
            <w:r>
              <w:rPr>
                <w:rFonts w:hint="eastAsia" w:ascii="宋体" w:hAnsi="宋体" w:cs="宋体"/>
                <w:bCs/>
                <w:color w:val="auto"/>
                <w:kern w:val="0"/>
                <w:sz w:val="21"/>
                <w:szCs w:val="21"/>
              </w:rPr>
              <w:t>可配套35×1.5ml离心管</w:t>
            </w:r>
          </w:p>
        </w:tc>
        <w:tc>
          <w:tcPr>
            <w:tcW w:w="902"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4623"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振荡转速：200~1500rpm*</w:t>
            </w:r>
          </w:p>
        </w:tc>
        <w:tc>
          <w:tcPr>
            <w:tcW w:w="902"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623"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升温时间（从25℃升至100℃）≤12min</w:t>
            </w:r>
          </w:p>
        </w:tc>
        <w:tc>
          <w:tcPr>
            <w:tcW w:w="902"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623" w:type="dxa"/>
            <w:noWrap w:val="0"/>
            <w:vAlign w:val="center"/>
          </w:tcPr>
          <w:p>
            <w:pPr>
              <w:widowControl/>
              <w:spacing w:line="240" w:lineRule="auto"/>
              <w:jc w:val="left"/>
              <w:rPr>
                <w:rFonts w:hint="eastAsia" w:ascii="宋体" w:hAnsi="宋体" w:cs="宋体"/>
                <w:bCs/>
                <w:color w:val="auto"/>
                <w:kern w:val="0"/>
                <w:sz w:val="21"/>
                <w:szCs w:val="21"/>
              </w:rPr>
            </w:pPr>
            <w:r>
              <w:rPr>
                <w:rFonts w:ascii="宋体" w:hAnsi="宋体" w:cs="宋体"/>
                <w:bCs/>
                <w:color w:val="auto"/>
                <w:kern w:val="0"/>
                <w:sz w:val="21"/>
                <w:szCs w:val="21"/>
              </w:rPr>
              <w:t>时间设置：最长99h59min</w:t>
            </w:r>
          </w:p>
        </w:tc>
        <w:tc>
          <w:tcPr>
            <w:tcW w:w="902"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23"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23"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23"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2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2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23"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0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2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0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2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2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4-8.</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（漩涡混匀器）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71"/>
        <w:gridCol w:w="441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7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41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7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418"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7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41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kern w:val="0"/>
                <w:sz w:val="21"/>
                <w:szCs w:val="21"/>
              </w:rPr>
              <w:t>配套测序检测分析系统，混匀样品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7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418"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7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418"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7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418"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37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41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转速范围：200~3000rpm</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41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外形尺寸≤160x210x110mm</w:t>
            </w:r>
          </w:p>
        </w:tc>
        <w:tc>
          <w:tcPr>
            <w:tcW w:w="138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41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振荡幅度支持φ 4.5mm(水平360°)</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41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可面板刻度显示速度</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41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操作模式支持：点触、定时振动或</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41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定时范围支持： 0~999min</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41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418"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418"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41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41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41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41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418"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37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41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37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41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37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418"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37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41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7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41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7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41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4-9.</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（磁力架）</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269"/>
        <w:gridCol w:w="494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2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9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2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944" w:type="dxa"/>
            <w:noWrap w:val="0"/>
            <w:vAlign w:val="center"/>
          </w:tcPr>
          <w:p>
            <w:pPr>
              <w:widowControl/>
              <w:spacing w:line="240" w:lineRule="auto"/>
              <w:jc w:val="center"/>
              <w:rPr>
                <w:rFonts w:ascii="宋体" w:hAnsi="宋体" w:cs="宋体"/>
                <w:b/>
                <w:bCs/>
                <w:color w:val="auto"/>
                <w:kern w:val="0"/>
              </w:rPr>
            </w:pP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2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944" w:type="dxa"/>
            <w:noWrap w:val="0"/>
            <w:vAlign w:val="center"/>
          </w:tcPr>
          <w:p>
            <w:pPr>
              <w:jc w:val="left"/>
              <w:rPr>
                <w:rFonts w:hint="eastAsia" w:ascii="宋体" w:hAnsi="宋体" w:cs="宋体"/>
                <w:bCs/>
                <w:color w:val="auto"/>
                <w:kern w:val="0"/>
                <w:sz w:val="21"/>
                <w:szCs w:val="21"/>
              </w:rPr>
            </w:pPr>
            <w:r>
              <w:rPr>
                <w:rFonts w:hint="eastAsia" w:ascii="宋体" w:hAnsi="宋体" w:cs="宋体"/>
                <w:bCs/>
                <w:color w:val="auto"/>
                <w:kern w:val="0"/>
                <w:sz w:val="21"/>
                <w:szCs w:val="21"/>
              </w:rPr>
              <w:t>配套测序检测分析系统配套，用于放置</w:t>
            </w:r>
            <w:r>
              <w:rPr>
                <w:rFonts w:hint="eastAsia" w:ascii="宋体" w:hAnsi="宋体" w:cs="宋体"/>
                <w:color w:val="auto"/>
              </w:rPr>
              <w:t>微型离心管。</w:t>
            </w: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269"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944"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color w:val="auto"/>
              </w:rPr>
              <w:t>离心管</w:t>
            </w:r>
          </w:p>
        </w:tc>
        <w:tc>
          <w:tcPr>
            <w:tcW w:w="9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269"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944"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26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944" w:type="dxa"/>
            <w:noWrap w:val="0"/>
            <w:vAlign w:val="center"/>
          </w:tcPr>
          <w:p>
            <w:pPr>
              <w:widowControl/>
              <w:spacing w:line="240" w:lineRule="auto"/>
              <w:jc w:val="center"/>
              <w:rPr>
                <w:rFonts w:ascii="宋体" w:hAnsi="宋体" w:cs="宋体"/>
                <w:color w:val="auto"/>
                <w:kern w:val="0"/>
                <w:sz w:val="21"/>
                <w:szCs w:val="21"/>
              </w:rPr>
            </w:pP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2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944" w:type="dxa"/>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可容纳16 根标准1.5-2 mL 微型离心管</w:t>
            </w:r>
          </w:p>
        </w:tc>
        <w:tc>
          <w:tcPr>
            <w:tcW w:w="95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参数2</w:t>
            </w:r>
          </w:p>
        </w:tc>
        <w:tc>
          <w:tcPr>
            <w:tcW w:w="4944" w:type="dxa"/>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顶部架子可迅速从底座磁铁中取出，以备再悬浮、旋涡、旋转或手动样品摇动</w:t>
            </w:r>
          </w:p>
        </w:tc>
        <w:tc>
          <w:tcPr>
            <w:tcW w:w="956"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94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944"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944"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94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94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94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94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944"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26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9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2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9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2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944"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5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2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9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2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2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Arial"/>
          <w:bCs/>
          <w:color w:val="auto"/>
          <w:sz w:val="44"/>
          <w:szCs w:val="44"/>
          <w:lang w:val="en-US" w:eastAsia="zh-CN"/>
        </w:rPr>
        <w:t>5.</w:t>
      </w:r>
      <w:r>
        <w:rPr>
          <w:rFonts w:hint="eastAsia" w:ascii="方正小标宋简体" w:hAnsi="宋体" w:eastAsia="方正小标宋简体" w:cs="Arial"/>
          <w:bCs/>
          <w:color w:val="auto"/>
          <w:sz w:val="44"/>
          <w:szCs w:val="44"/>
        </w:rPr>
        <w:t>多重核酸检测仪</w:t>
      </w:r>
      <w:r>
        <w:rPr>
          <w:rFonts w:hint="eastAsia" w:ascii="方正小标宋简体" w:hAnsi="宋体" w:eastAsia="方正小标宋简体" w:cs="Arial"/>
          <w:bCs/>
          <w:color w:val="auto"/>
          <w:sz w:val="44"/>
          <w:szCs w:val="44"/>
          <w:lang w:eastAsia="zh-CN"/>
        </w:rPr>
        <w:t>技术要求</w:t>
      </w:r>
    </w:p>
    <w:tbl>
      <w:tblPr>
        <w:tblStyle w:val="2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69"/>
        <w:gridCol w:w="5839"/>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技术参数和性能名称</w:t>
            </w:r>
          </w:p>
        </w:tc>
        <w:tc>
          <w:tcPr>
            <w:tcW w:w="583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5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使用需求</w:t>
            </w:r>
          </w:p>
        </w:tc>
        <w:tc>
          <w:tcPr>
            <w:tcW w:w="5839" w:type="dxa"/>
            <w:noWrap w:val="0"/>
            <w:vAlign w:val="center"/>
          </w:tcPr>
          <w:p>
            <w:pPr>
              <w:widowControl/>
              <w:spacing w:line="240" w:lineRule="auto"/>
              <w:jc w:val="center"/>
              <w:rPr>
                <w:rFonts w:ascii="宋体" w:hAnsi="宋体" w:cs="宋体"/>
                <w:b/>
                <w:bCs/>
                <w:color w:val="auto"/>
                <w:kern w:val="0"/>
              </w:rPr>
            </w:pPr>
          </w:p>
        </w:tc>
        <w:tc>
          <w:tcPr>
            <w:tcW w:w="85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839" w:type="dxa"/>
            <w:noWrap w:val="0"/>
            <w:vAlign w:val="center"/>
          </w:tcPr>
          <w:p>
            <w:pPr>
              <w:spacing w:line="240" w:lineRule="auto"/>
              <w:rPr>
                <w:rFonts w:ascii="宋体" w:hAnsi="宋体" w:cs="宋体"/>
                <w:color w:val="auto"/>
                <w:kern w:val="0"/>
                <w:sz w:val="21"/>
                <w:szCs w:val="21"/>
              </w:rPr>
            </w:pPr>
            <w:r>
              <w:rPr>
                <w:color w:val="auto"/>
              </w:rPr>
              <w:t>主要用途和适用范围：多重呼吸道病毒核酸检测，多重肠道细菌、病毒、寄生虫核酸检测，</w:t>
            </w:r>
            <w:r>
              <w:rPr>
                <w:rFonts w:hint="eastAsia"/>
                <w:color w:val="auto"/>
              </w:rPr>
              <w:t>炎症介质，蛋白表达，传染性疾病，基因表达</w:t>
            </w:r>
            <w:r>
              <w:rPr>
                <w:color w:val="auto"/>
              </w:rPr>
              <w:t>；核酸与蛋白分析检测等</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69"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839" w:type="dxa"/>
            <w:shd w:val="clear" w:color="000000" w:fill="auto"/>
            <w:noWrap w:val="0"/>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蛋白质、核酸</w:t>
            </w:r>
          </w:p>
        </w:tc>
        <w:tc>
          <w:tcPr>
            <w:tcW w:w="854"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shd w:val="clear" w:color="000000" w:fill="auto"/>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1.3</w:t>
            </w:r>
          </w:p>
        </w:tc>
        <w:tc>
          <w:tcPr>
            <w:tcW w:w="2069" w:type="dxa"/>
            <w:shd w:val="clear" w:color="000000" w:fill="auto"/>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特殊功能需求</w:t>
            </w:r>
          </w:p>
        </w:tc>
        <w:tc>
          <w:tcPr>
            <w:tcW w:w="5839" w:type="dxa"/>
            <w:shd w:val="clear" w:color="000000" w:fill="auto"/>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olor w:val="auto"/>
              </w:rPr>
              <w:t>传染病病原体快速检测（如呼吸道病原体、肠道病原体等）</w:t>
            </w:r>
          </w:p>
        </w:tc>
        <w:tc>
          <w:tcPr>
            <w:tcW w:w="854"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2</w:t>
            </w:r>
          </w:p>
        </w:tc>
        <w:tc>
          <w:tcPr>
            <w:tcW w:w="20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p>
        </w:tc>
        <w:tc>
          <w:tcPr>
            <w:tcW w:w="5839" w:type="dxa"/>
            <w:noWrap w:val="0"/>
            <w:vAlign w:val="center"/>
          </w:tcPr>
          <w:p>
            <w:pPr>
              <w:widowControl/>
              <w:spacing w:line="240" w:lineRule="auto"/>
              <w:jc w:val="left"/>
              <w:rPr>
                <w:rFonts w:ascii="宋体" w:hAnsi="宋体" w:cs="宋体"/>
                <w:color w:val="auto"/>
                <w:kern w:val="0"/>
              </w:rPr>
            </w:pP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069" w:type="dxa"/>
            <w:noWrap w:val="0"/>
            <w:vAlign w:val="center"/>
          </w:tcPr>
          <w:p>
            <w:pPr>
              <w:widowControl/>
              <w:spacing w:line="240" w:lineRule="auto"/>
              <w:jc w:val="center"/>
              <w:rPr>
                <w:rFonts w:hint="eastAsia"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参数1</w:t>
            </w:r>
          </w:p>
        </w:tc>
        <w:tc>
          <w:tcPr>
            <w:tcW w:w="5839" w:type="dxa"/>
            <w:noWrap w:val="0"/>
            <w:vAlign w:val="center"/>
          </w:tcPr>
          <w:p>
            <w:pPr>
              <w:widowControl/>
              <w:spacing w:line="240" w:lineRule="auto"/>
              <w:jc w:val="left"/>
              <w:rPr>
                <w:rFonts w:hint="eastAsia" w:ascii="宋体" w:hAnsi="宋体"/>
                <w:color w:val="auto"/>
                <w:kern w:val="0"/>
                <w:sz w:val="21"/>
                <w:szCs w:val="21"/>
              </w:rPr>
            </w:pPr>
            <w:r>
              <w:rPr>
                <w:rFonts w:hint="eastAsia"/>
                <w:color w:val="auto"/>
              </w:rPr>
              <w:t>多重性：单孔检测≥50个指标（核酸/蛋白）。多重</w:t>
            </w:r>
            <w:r>
              <w:rPr>
                <w:color w:val="auto"/>
              </w:rPr>
              <w:t>呼吸道病原体</w:t>
            </w:r>
            <w:r>
              <w:rPr>
                <w:rFonts w:hint="eastAsia"/>
                <w:color w:val="auto"/>
              </w:rPr>
              <w:t>核酸</w:t>
            </w:r>
            <w:r>
              <w:rPr>
                <w:color w:val="auto"/>
              </w:rPr>
              <w:t>检测试剂盒</w:t>
            </w:r>
            <w:r>
              <w:rPr>
                <w:rFonts w:hint="eastAsia"/>
                <w:color w:val="auto"/>
              </w:rPr>
              <w:t>，单管一次同时检测≥</w:t>
            </w:r>
            <w:r>
              <w:rPr>
                <w:color w:val="auto"/>
              </w:rPr>
              <w:t>1</w:t>
            </w:r>
            <w:r>
              <w:rPr>
                <w:rFonts w:hint="eastAsia"/>
                <w:color w:val="auto"/>
              </w:rPr>
              <w:t>8种呼吸道病毒及其亚型；多重腹泻病原体核酸检测试剂盒，单管一次同时检测≥12种细菌及其毒素、寄生虫、病毒；</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2.2</w:t>
            </w:r>
          </w:p>
        </w:tc>
        <w:tc>
          <w:tcPr>
            <w:tcW w:w="2069"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参数2</w:t>
            </w:r>
          </w:p>
        </w:tc>
        <w:tc>
          <w:tcPr>
            <w:tcW w:w="5839" w:type="dxa"/>
            <w:noWrap w:val="0"/>
            <w:vAlign w:val="center"/>
          </w:tcPr>
          <w:p>
            <w:pPr>
              <w:widowControl/>
              <w:spacing w:line="240" w:lineRule="auto"/>
              <w:jc w:val="left"/>
              <w:rPr>
                <w:rFonts w:hint="eastAsia" w:ascii="宋体" w:hAnsi="宋体"/>
                <w:color w:val="auto"/>
                <w:kern w:val="0"/>
                <w:sz w:val="21"/>
                <w:szCs w:val="21"/>
              </w:rPr>
            </w:pPr>
            <w:r>
              <w:rPr>
                <w:rFonts w:hint="eastAsia"/>
                <w:color w:val="auto"/>
                <w:lang w:val="en"/>
              </w:rPr>
              <w:t>可以使用、检测由客户自行设计、耦联有寡核苷酸、抗体、抗原、多肽或其它小分子化合物的荧光微球</w:t>
            </w:r>
            <w:r>
              <w:rPr>
                <w:vanish/>
                <w:color w:val="auto"/>
                <w:lang w:val="en"/>
              </w:rPr>
              <w:t>可以使用、检测由自行设计、耦联有寡核苷酸、抗体、抗原、多肽或其它小分子化合物的荧光微</w:t>
            </w:r>
            <w:r>
              <w:rPr>
                <w:rFonts w:hint="eastAsia" w:ascii="宋体" w:hAnsi="宋体" w:cs="宋体"/>
                <w:vanish/>
                <w:color w:val="auto"/>
                <w:lang w:val="en"/>
              </w:rPr>
              <w:t>球</w:t>
            </w:r>
            <w:r>
              <w:rPr>
                <w:vanish/>
                <w:color w:val="auto"/>
                <w:lang w:val="en"/>
              </w:rPr>
              <w:t>可以使用、检测由自行设计、耦联有寡核苷酸、抗体、抗原、多肽或其它小分子化合物的荧光微</w:t>
            </w:r>
            <w:r>
              <w:rPr>
                <w:rFonts w:hint="eastAsia" w:ascii="宋体" w:hAnsi="宋体" w:cs="宋体"/>
                <w:vanish/>
                <w:color w:val="auto"/>
                <w:lang w:val="en"/>
              </w:rPr>
              <w:t>球</w:t>
            </w:r>
            <w:r>
              <w:rPr>
                <w:vanish/>
                <w:color w:val="auto"/>
                <w:lang w:val="en"/>
              </w:rPr>
              <w:t>可以使用、检测由自行设计、耦联有寡核苷酸、抗体、抗原、多肽或其它小分子化合物的荧光微</w:t>
            </w:r>
            <w:r>
              <w:rPr>
                <w:rFonts w:hint="eastAsia" w:ascii="宋体" w:hAnsi="宋体" w:cs="宋体"/>
                <w:vanish/>
                <w:color w:val="auto"/>
                <w:lang w:val="en"/>
              </w:rPr>
              <w:t>球</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2069"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参数3</w:t>
            </w:r>
          </w:p>
        </w:tc>
        <w:tc>
          <w:tcPr>
            <w:tcW w:w="5839" w:type="dxa"/>
            <w:noWrap w:val="0"/>
            <w:vAlign w:val="center"/>
          </w:tcPr>
          <w:p>
            <w:pPr>
              <w:spacing w:line="240" w:lineRule="auto"/>
              <w:jc w:val="left"/>
              <w:rPr>
                <w:rFonts w:hint="eastAsia" w:ascii="GE Inspira" w:hAnsi="GE Inspira"/>
                <w:bCs/>
                <w:color w:val="auto"/>
              </w:rPr>
            </w:pPr>
            <w:r>
              <w:rPr>
                <w:rFonts w:hint="eastAsia"/>
                <w:color w:val="auto"/>
              </w:rPr>
              <w:t>检测样本通量：仪器运行一次可同时检测96个样本</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2.4</w:t>
            </w:r>
          </w:p>
        </w:tc>
        <w:tc>
          <w:tcPr>
            <w:tcW w:w="2069"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参数4</w:t>
            </w:r>
          </w:p>
        </w:tc>
        <w:tc>
          <w:tcPr>
            <w:tcW w:w="5839" w:type="dxa"/>
            <w:noWrap w:val="0"/>
            <w:vAlign w:val="center"/>
          </w:tcPr>
          <w:p>
            <w:pPr>
              <w:spacing w:line="240" w:lineRule="auto"/>
              <w:jc w:val="left"/>
              <w:rPr>
                <w:rFonts w:hint="eastAsia" w:ascii="GE Inspira" w:hAnsi="GE Inspira"/>
                <w:bCs/>
                <w:color w:val="auto"/>
              </w:rPr>
            </w:pPr>
            <w:r>
              <w:rPr>
                <w:rFonts w:ascii="宋体" w:hAnsi="宋体"/>
                <w:color w:val="auto"/>
              </w:rPr>
              <w:t>具备核酸或蛋白方面的分析检测</w:t>
            </w:r>
            <w:r>
              <w:rPr>
                <w:rFonts w:hint="eastAsia" w:ascii="宋体" w:hAnsi="宋体"/>
                <w:color w:val="auto"/>
              </w:rPr>
              <w:t>；</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2.5</w:t>
            </w:r>
          </w:p>
        </w:tc>
        <w:tc>
          <w:tcPr>
            <w:tcW w:w="2069"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参数5</w:t>
            </w:r>
          </w:p>
        </w:tc>
        <w:tc>
          <w:tcPr>
            <w:tcW w:w="5839" w:type="dxa"/>
            <w:noWrap w:val="0"/>
            <w:vAlign w:val="center"/>
          </w:tcPr>
          <w:p>
            <w:pPr>
              <w:widowControl/>
              <w:spacing w:line="240" w:lineRule="auto"/>
              <w:jc w:val="left"/>
              <w:rPr>
                <w:rFonts w:ascii="宋体" w:hAnsi="宋体" w:cs="宋体"/>
                <w:color w:val="auto"/>
                <w:kern w:val="0"/>
              </w:rPr>
            </w:pPr>
            <w:r>
              <w:rPr>
                <w:rFonts w:hint="eastAsia"/>
                <w:color w:val="auto"/>
              </w:rPr>
              <w:t>检测原理：使用不同配比的荧光标记编码微球，偶联核酸探针，流式细胞分析技术，快速分析单一样品中多重指标。</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069" w:type="dxa"/>
            <w:noWrap w:val="0"/>
            <w:vAlign w:val="center"/>
          </w:tcPr>
          <w:p>
            <w:pPr>
              <w:jc w:val="center"/>
              <w:rPr>
                <w:color w:val="auto"/>
              </w:rPr>
            </w:pPr>
            <w:r>
              <w:rPr>
                <w:rFonts w:hint="eastAsia" w:ascii="宋体" w:hAnsi="宋体"/>
                <w:color w:val="auto"/>
                <w:kern w:val="0"/>
                <w:sz w:val="20"/>
              </w:rPr>
              <w:t>▲</w:t>
            </w:r>
            <w:r>
              <w:rPr>
                <w:rFonts w:hint="eastAsia" w:ascii="宋体" w:hAnsi="宋体" w:cs="Arial"/>
                <w:b/>
                <w:bCs/>
                <w:color w:val="auto"/>
                <w:sz w:val="21"/>
                <w:szCs w:val="21"/>
              </w:rPr>
              <w:t>参数6</w:t>
            </w:r>
          </w:p>
        </w:tc>
        <w:tc>
          <w:tcPr>
            <w:tcW w:w="5839" w:type="dxa"/>
            <w:noWrap w:val="0"/>
            <w:vAlign w:val="center"/>
          </w:tcPr>
          <w:p>
            <w:pPr>
              <w:rPr>
                <w:rFonts w:hAnsi="Arial"/>
                <w:color w:val="auto"/>
              </w:rPr>
            </w:pPr>
            <w:r>
              <w:rPr>
                <w:rFonts w:hint="eastAsia" w:hAnsi="Arial"/>
                <w:color w:val="auto"/>
              </w:rPr>
              <w:t>处理器：数字信号处理器</w:t>
            </w:r>
            <w:r>
              <w:rPr>
                <w:rFonts w:hAnsi="Arial"/>
                <w:color w:val="auto"/>
              </w:rPr>
              <w:t>;</w:t>
            </w:r>
            <w:r>
              <w:rPr>
                <w:rFonts w:hint="eastAsia"/>
                <w:color w:val="auto"/>
              </w:rPr>
              <w:t xml:space="preserve"> </w:t>
            </w:r>
            <w:r>
              <w:rPr>
                <w:rFonts w:hint="eastAsia" w:hAnsi="Arial"/>
                <w:color w:val="auto"/>
              </w:rPr>
              <w:t>单样品中可同时区分及检测1-50种xMAP编码磁珠上的报告荧光（590 nm ± 24 nm）</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069" w:type="dxa"/>
            <w:noWrap w:val="0"/>
            <w:vAlign w:val="center"/>
          </w:tcPr>
          <w:p>
            <w:pPr>
              <w:jc w:val="center"/>
              <w:rPr>
                <w:color w:val="auto"/>
              </w:rPr>
            </w:pPr>
            <w:r>
              <w:rPr>
                <w:rFonts w:hint="eastAsia" w:ascii="宋体" w:hAnsi="宋体" w:cs="Arial"/>
                <w:b/>
                <w:bCs/>
                <w:color w:val="auto"/>
                <w:sz w:val="21"/>
                <w:szCs w:val="21"/>
              </w:rPr>
              <w:t>参数7</w:t>
            </w:r>
          </w:p>
        </w:tc>
        <w:tc>
          <w:tcPr>
            <w:tcW w:w="5839" w:type="dxa"/>
            <w:noWrap w:val="0"/>
            <w:vAlign w:val="center"/>
          </w:tcPr>
          <w:p>
            <w:pPr>
              <w:widowControl/>
              <w:spacing w:line="240" w:lineRule="auto"/>
              <w:jc w:val="left"/>
              <w:rPr>
                <w:rFonts w:hint="eastAsia" w:ascii="宋体" w:hAnsi="宋体"/>
                <w:color w:val="auto"/>
                <w:kern w:val="0"/>
                <w:sz w:val="21"/>
                <w:szCs w:val="21"/>
              </w:rPr>
            </w:pPr>
            <w:r>
              <w:rPr>
                <w:rFonts w:hint="eastAsia"/>
                <w:color w:val="auto"/>
              </w:rPr>
              <w:t>可兼容应用统计软件，具备自动生成最优曲线的曲线拟合算法；具有多功能软件操作平台。</w:t>
            </w:r>
            <w:r>
              <w:rPr>
                <w:rFonts w:hint="eastAsia" w:ascii="宋体" w:hAnsi="宋体"/>
                <w:color w:val="auto"/>
                <w:kern w:val="0"/>
                <w:sz w:val="21"/>
                <w:szCs w:val="21"/>
              </w:rPr>
              <w:t xml:space="preserve"> </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069" w:type="dxa"/>
            <w:noWrap w:val="0"/>
            <w:vAlign w:val="center"/>
          </w:tcPr>
          <w:p>
            <w:pPr>
              <w:jc w:val="center"/>
              <w:rPr>
                <w:color w:val="auto"/>
              </w:rPr>
            </w:pPr>
            <w:r>
              <w:rPr>
                <w:rFonts w:hint="eastAsia" w:ascii="宋体" w:hAnsi="宋体" w:cs="Arial"/>
                <w:b/>
                <w:bCs/>
                <w:color w:val="auto"/>
                <w:sz w:val="21"/>
                <w:szCs w:val="21"/>
              </w:rPr>
              <w:t>参数8</w:t>
            </w:r>
          </w:p>
        </w:tc>
        <w:tc>
          <w:tcPr>
            <w:tcW w:w="5839" w:type="dxa"/>
            <w:noWrap w:val="0"/>
            <w:vAlign w:val="center"/>
          </w:tcPr>
          <w:p>
            <w:pPr>
              <w:widowControl/>
              <w:spacing w:line="240" w:lineRule="auto"/>
              <w:jc w:val="left"/>
              <w:rPr>
                <w:rFonts w:hint="eastAsia" w:ascii="GE Inspira" w:hAnsi="GE Inspira"/>
                <w:bCs/>
                <w:color w:val="auto"/>
              </w:rPr>
            </w:pPr>
            <w:r>
              <w:rPr>
                <w:rFonts w:hint="eastAsia"/>
                <w:color w:val="auto"/>
              </w:rPr>
              <w:t>可进行感染性疾病监测，药物基因组学检测，个体化医疗检测，MicroRNA,细胞因子检测等。</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069" w:type="dxa"/>
            <w:noWrap w:val="0"/>
            <w:vAlign w:val="center"/>
          </w:tcPr>
          <w:p>
            <w:pPr>
              <w:jc w:val="center"/>
              <w:rPr>
                <w:color w:val="auto"/>
              </w:rPr>
            </w:pPr>
            <w:r>
              <w:rPr>
                <w:rFonts w:hint="eastAsia" w:ascii="宋体" w:hAnsi="宋体" w:cs="Arial"/>
                <w:b/>
                <w:bCs/>
                <w:color w:val="auto"/>
                <w:sz w:val="21"/>
                <w:szCs w:val="21"/>
              </w:rPr>
              <w:t>参数9</w:t>
            </w:r>
          </w:p>
        </w:tc>
        <w:tc>
          <w:tcPr>
            <w:tcW w:w="5839" w:type="dxa"/>
            <w:noWrap w:val="0"/>
            <w:vAlign w:val="center"/>
          </w:tcPr>
          <w:p>
            <w:pPr>
              <w:widowControl/>
              <w:spacing w:line="240" w:lineRule="auto"/>
              <w:jc w:val="left"/>
              <w:rPr>
                <w:rFonts w:ascii="宋体" w:hAnsi="宋体" w:cs="宋体"/>
                <w:color w:val="auto"/>
                <w:kern w:val="0"/>
              </w:rPr>
            </w:pPr>
            <w:r>
              <w:rPr>
                <w:rFonts w:hint="eastAsia"/>
                <w:color w:val="auto"/>
              </w:rPr>
              <w:t>可选微球种类不少于2种。</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069"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参数10</w:t>
            </w:r>
          </w:p>
        </w:tc>
        <w:tc>
          <w:tcPr>
            <w:tcW w:w="5839" w:type="dxa"/>
            <w:noWrap w:val="0"/>
            <w:vAlign w:val="center"/>
          </w:tcPr>
          <w:p>
            <w:pPr>
              <w:widowControl/>
              <w:spacing w:line="240" w:lineRule="auto"/>
              <w:jc w:val="left"/>
              <w:rPr>
                <w:rFonts w:hint="eastAsia"/>
                <w:color w:val="auto"/>
              </w:rPr>
            </w:pPr>
            <w:r>
              <w:rPr>
                <w:rFonts w:hint="eastAsia"/>
                <w:color w:val="auto"/>
              </w:rPr>
              <w:t>具有对复合式液态悬浮芯片系统控制、验证、校正、数据采集和数据分析的基本功能；</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2069"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参数11</w:t>
            </w:r>
          </w:p>
        </w:tc>
        <w:tc>
          <w:tcPr>
            <w:tcW w:w="5839" w:type="dxa"/>
            <w:noWrap w:val="0"/>
            <w:vAlign w:val="center"/>
          </w:tcPr>
          <w:p>
            <w:pPr>
              <w:spacing w:line="276" w:lineRule="auto"/>
              <w:rPr>
                <w:rFonts w:hint="eastAsia"/>
                <w:color w:val="auto"/>
              </w:rPr>
            </w:pPr>
            <w:r>
              <w:rPr>
                <w:rFonts w:hint="eastAsia"/>
                <w:color w:val="auto"/>
              </w:rPr>
              <w:t>开放性的检测平台，既可以使用商业化的试剂盒，也可以根据实际需求自行开发试剂盒，并提供相关实验设计方案证明文件；</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2.12</w:t>
            </w:r>
          </w:p>
        </w:tc>
        <w:tc>
          <w:tcPr>
            <w:tcW w:w="2069"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参数12</w:t>
            </w:r>
          </w:p>
        </w:tc>
        <w:tc>
          <w:tcPr>
            <w:tcW w:w="5839" w:type="dxa"/>
            <w:noWrap w:val="0"/>
            <w:vAlign w:val="center"/>
          </w:tcPr>
          <w:p>
            <w:pPr>
              <w:widowControl/>
              <w:spacing w:line="240" w:lineRule="auto"/>
              <w:jc w:val="left"/>
              <w:rPr>
                <w:rFonts w:hint="eastAsia" w:ascii="宋体" w:hAnsi="宋体" w:cs="Arial"/>
                <w:color w:val="auto"/>
              </w:rPr>
            </w:pPr>
            <w:r>
              <w:rPr>
                <w:rFonts w:hint="eastAsia"/>
                <w:color w:val="auto"/>
              </w:rPr>
              <w:t>实时显示数据采集，显示：微球体图谱、直方图、液流速度、荧光强度值；</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2.13</w:t>
            </w:r>
          </w:p>
        </w:tc>
        <w:tc>
          <w:tcPr>
            <w:tcW w:w="2069"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参数13</w:t>
            </w:r>
          </w:p>
        </w:tc>
        <w:tc>
          <w:tcPr>
            <w:tcW w:w="5839" w:type="dxa"/>
            <w:noWrap w:val="0"/>
            <w:vAlign w:val="center"/>
          </w:tcPr>
          <w:p>
            <w:pPr>
              <w:widowControl/>
              <w:spacing w:line="240" w:lineRule="auto"/>
              <w:jc w:val="left"/>
              <w:rPr>
                <w:rFonts w:ascii="宋体" w:hAnsi="宋体"/>
                <w:color w:val="auto"/>
              </w:rPr>
            </w:pPr>
            <w:r>
              <w:rPr>
                <w:rFonts w:hint="eastAsia"/>
                <w:color w:val="auto"/>
              </w:rPr>
              <w:t>数据分析工具和报告，可自定义报告；</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2.14</w:t>
            </w:r>
          </w:p>
        </w:tc>
        <w:tc>
          <w:tcPr>
            <w:tcW w:w="2069" w:type="dxa"/>
            <w:noWrap w:val="0"/>
            <w:vAlign w:val="center"/>
          </w:tcPr>
          <w:p>
            <w:pPr>
              <w:jc w:val="center"/>
              <w:rPr>
                <w:rFonts w:hint="eastAsia" w:ascii="宋体" w:hAnsi="宋体" w:cs="宋体"/>
                <w:b/>
                <w:bCs/>
                <w:color w:val="auto"/>
                <w:kern w:val="0"/>
                <w:sz w:val="21"/>
                <w:szCs w:val="21"/>
              </w:rPr>
            </w:pPr>
            <w:r>
              <w:rPr>
                <w:rFonts w:hint="eastAsia" w:ascii="宋体" w:hAnsi="宋体" w:cs="Arial"/>
                <w:b/>
                <w:bCs/>
                <w:color w:val="auto"/>
                <w:sz w:val="21"/>
                <w:szCs w:val="21"/>
              </w:rPr>
              <w:t>参数14</w:t>
            </w:r>
          </w:p>
        </w:tc>
        <w:tc>
          <w:tcPr>
            <w:tcW w:w="5839" w:type="dxa"/>
            <w:noWrap w:val="0"/>
            <w:vAlign w:val="center"/>
          </w:tcPr>
          <w:p>
            <w:pPr>
              <w:pStyle w:val="52"/>
              <w:keepNext w:val="0"/>
              <w:keepLines w:val="0"/>
              <w:pageBreakBefore w:val="0"/>
              <w:widowControl/>
              <w:kinsoku/>
              <w:wordWrap/>
              <w:overflowPunct/>
              <w:topLinePunct w:val="0"/>
              <w:autoSpaceDE w:val="0"/>
              <w:autoSpaceDN w:val="0"/>
              <w:bidi w:val="0"/>
              <w:adjustRightInd w:val="0"/>
              <w:snapToGrid/>
              <w:spacing w:line="240" w:lineRule="atLeast"/>
              <w:textAlignment w:val="auto"/>
              <w:rPr>
                <w:rFonts w:hint="eastAsia" w:cs="Times New Roman"/>
                <w:color w:val="auto"/>
              </w:rPr>
            </w:pPr>
            <w:r>
              <w:rPr>
                <w:rFonts w:hint="eastAsia" w:cs="Times New Roman"/>
                <w:color w:val="auto"/>
              </w:rPr>
              <w:t>最小报告荧光动态范围：3 logs</w:t>
            </w:r>
            <w:r>
              <w:rPr>
                <w:rFonts w:cs="Times New Roman"/>
                <w:color w:val="auto"/>
              </w:rPr>
              <w:t>；</w:t>
            </w:r>
            <w:r>
              <w:rPr>
                <w:rFonts w:hint="eastAsia" w:cs="Times New Roman"/>
                <w:color w:val="auto"/>
              </w:rPr>
              <w:t>典型动态范围: ≥ 3.5 Logs；</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2.15</w:t>
            </w:r>
          </w:p>
        </w:tc>
        <w:tc>
          <w:tcPr>
            <w:tcW w:w="2069"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参数15</w:t>
            </w:r>
          </w:p>
        </w:tc>
        <w:tc>
          <w:tcPr>
            <w:tcW w:w="5839" w:type="dxa"/>
            <w:noWrap w:val="0"/>
            <w:vAlign w:val="center"/>
          </w:tcPr>
          <w:p>
            <w:pPr>
              <w:widowControl/>
              <w:spacing w:line="240" w:lineRule="auto"/>
              <w:jc w:val="left"/>
              <w:rPr>
                <w:rFonts w:hint="eastAsia" w:ascii="宋体" w:hAnsi="宋体" w:cs="Arial"/>
                <w:color w:val="auto"/>
              </w:rPr>
            </w:pPr>
            <w:r>
              <w:rPr>
                <w:rFonts w:hint="eastAsia" w:ascii="宋体" w:hAnsi="宋体"/>
                <w:color w:val="auto"/>
              </w:rPr>
              <w:t>多重核酸检测时，可提供备选xTAG微球，厂家可以为使用者提供相关微球备选库并辅助其选用对应微球。</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w:t>
            </w:r>
          </w:p>
        </w:tc>
        <w:tc>
          <w:tcPr>
            <w:tcW w:w="2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b/>
                <w:bCs/>
                <w:color w:val="auto"/>
                <w:kern w:val="0"/>
                <w:sz w:val="21"/>
                <w:szCs w:val="21"/>
              </w:rPr>
              <w:t>配置需求</w:t>
            </w:r>
          </w:p>
        </w:tc>
        <w:tc>
          <w:tcPr>
            <w:tcW w:w="5839" w:type="dxa"/>
            <w:noWrap w:val="0"/>
            <w:vAlign w:val="center"/>
          </w:tcPr>
          <w:p>
            <w:pPr>
              <w:widowControl/>
              <w:spacing w:line="240" w:lineRule="auto"/>
              <w:jc w:val="left"/>
              <w:rPr>
                <w:rFonts w:hint="eastAsia" w:ascii="GE Inspira" w:hAnsi="GE Inspira"/>
                <w:bCs/>
                <w:color w:val="auto"/>
              </w:rPr>
            </w:pP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0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839" w:type="dxa"/>
            <w:noWrap w:val="0"/>
            <w:vAlign w:val="center"/>
          </w:tcPr>
          <w:p>
            <w:pPr>
              <w:pStyle w:val="49"/>
              <w:widowControl/>
              <w:spacing w:line="240" w:lineRule="auto"/>
              <w:ind w:left="90"/>
              <w:jc w:val="left"/>
              <w:rPr>
                <w:rFonts w:hint="eastAsia" w:ascii="宋体" w:hAnsi="宋体" w:cs="宋体"/>
                <w:color w:val="auto"/>
                <w:kern w:val="0"/>
              </w:rPr>
            </w:pPr>
            <w:r>
              <w:rPr>
                <w:color w:val="auto"/>
              </w:rPr>
              <w:t>主机</w:t>
            </w:r>
            <w:r>
              <w:rPr>
                <w:rFonts w:hint="eastAsia"/>
                <w:color w:val="auto"/>
              </w:rPr>
              <w:t>（含检测平台和鞘液流系统 ）</w:t>
            </w:r>
            <w:r>
              <w:rPr>
                <w:rFonts w:hint="eastAsia" w:ascii="宋体" w:hAnsi="宋体"/>
                <w:color w:val="auto"/>
              </w:rPr>
              <w:t>1台</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0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839" w:type="dxa"/>
            <w:noWrap w:val="0"/>
            <w:vAlign w:val="center"/>
          </w:tcPr>
          <w:p>
            <w:pPr>
              <w:pStyle w:val="49"/>
              <w:widowControl/>
              <w:spacing w:line="240" w:lineRule="auto"/>
              <w:ind w:left="90"/>
              <w:jc w:val="left"/>
              <w:rPr>
                <w:rFonts w:hint="eastAsia" w:ascii="宋体" w:hAnsi="宋体" w:cs="宋体"/>
                <w:color w:val="auto"/>
                <w:kern w:val="0"/>
              </w:rPr>
            </w:pPr>
            <w:r>
              <w:rPr>
                <w:color w:val="auto"/>
              </w:rPr>
              <w:t>多功能设备控制以及数据分析软件包</w:t>
            </w:r>
            <w:r>
              <w:rPr>
                <w:rFonts w:hint="eastAsia"/>
                <w:color w:val="auto"/>
              </w:rPr>
              <w:t xml:space="preserve"> </w:t>
            </w:r>
            <w:r>
              <w:rPr>
                <w:rFonts w:hint="eastAsia" w:ascii="宋体" w:hAnsi="宋体"/>
                <w:color w:val="auto"/>
              </w:rPr>
              <w:t>1套</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3.3</w:t>
            </w:r>
          </w:p>
        </w:tc>
        <w:tc>
          <w:tcPr>
            <w:tcW w:w="20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5839" w:type="dxa"/>
            <w:noWrap w:val="0"/>
            <w:vAlign w:val="center"/>
          </w:tcPr>
          <w:p>
            <w:pPr>
              <w:pStyle w:val="49"/>
              <w:widowControl/>
              <w:spacing w:line="240" w:lineRule="auto"/>
              <w:ind w:left="90"/>
              <w:jc w:val="left"/>
              <w:rPr>
                <w:rFonts w:hint="eastAsia" w:ascii="宋体" w:hAnsi="宋体" w:cs="宋体"/>
                <w:color w:val="auto"/>
                <w:kern w:val="0"/>
              </w:rPr>
            </w:pPr>
            <w:r>
              <w:rPr>
                <w:color w:val="auto"/>
              </w:rPr>
              <w:t>独立核酸检测分析软件包</w:t>
            </w:r>
            <w:r>
              <w:rPr>
                <w:rFonts w:hint="eastAsia"/>
                <w:color w:val="auto"/>
              </w:rPr>
              <w:t xml:space="preserve"> </w:t>
            </w:r>
            <w:r>
              <w:rPr>
                <w:color w:val="auto"/>
              </w:rPr>
              <w:t xml:space="preserve">  </w:t>
            </w:r>
            <w:r>
              <w:rPr>
                <w:rFonts w:hint="eastAsia" w:ascii="宋体" w:hAnsi="宋体"/>
                <w:color w:val="auto"/>
              </w:rPr>
              <w:t>1套</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3.4</w:t>
            </w:r>
          </w:p>
        </w:tc>
        <w:tc>
          <w:tcPr>
            <w:tcW w:w="20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5839" w:type="dxa"/>
            <w:noWrap w:val="0"/>
            <w:vAlign w:val="center"/>
          </w:tcPr>
          <w:p>
            <w:pPr>
              <w:pStyle w:val="49"/>
              <w:widowControl/>
              <w:spacing w:line="240" w:lineRule="auto"/>
              <w:ind w:left="90"/>
              <w:jc w:val="left"/>
              <w:rPr>
                <w:rFonts w:hint="eastAsia"/>
                <w:color w:val="auto"/>
              </w:rPr>
            </w:pPr>
            <w:r>
              <w:rPr>
                <w:color w:val="auto"/>
              </w:rPr>
              <w:t>校准试剂盒</w:t>
            </w:r>
            <w:r>
              <w:rPr>
                <w:rFonts w:hint="eastAsia"/>
                <w:color w:val="auto"/>
              </w:rPr>
              <w:t xml:space="preserve"> </w:t>
            </w:r>
            <w:r>
              <w:rPr>
                <w:color w:val="auto"/>
              </w:rPr>
              <w:t xml:space="preserve">   </w:t>
            </w:r>
            <w:r>
              <w:rPr>
                <w:rFonts w:hint="eastAsia" w:ascii="宋体" w:hAnsi="宋体"/>
                <w:color w:val="auto"/>
              </w:rPr>
              <w:t>1盒</w:t>
            </w:r>
          </w:p>
        </w:tc>
        <w:tc>
          <w:tcPr>
            <w:tcW w:w="854" w:type="dxa"/>
            <w:noWrap w:val="0"/>
            <w:vAlign w:val="center"/>
          </w:tcPr>
          <w:p>
            <w:pPr>
              <w:widowControl/>
              <w:spacing w:line="240" w:lineRule="auto"/>
              <w:rPr>
                <w:rFonts w:hint="eastAsia" w:ascii="宋体" w:hAnsi="宋体" w:cs="宋体"/>
                <w:color w:val="auto"/>
                <w:kern w:val="0"/>
              </w:rPr>
            </w:pPr>
            <w:r>
              <w:rPr>
                <w:rFonts w:hint="eastAsia"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3.5</w:t>
            </w:r>
          </w:p>
        </w:tc>
        <w:tc>
          <w:tcPr>
            <w:tcW w:w="206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配置5</w:t>
            </w:r>
          </w:p>
        </w:tc>
        <w:tc>
          <w:tcPr>
            <w:tcW w:w="5839" w:type="dxa"/>
            <w:noWrap w:val="0"/>
            <w:vAlign w:val="center"/>
          </w:tcPr>
          <w:p>
            <w:pPr>
              <w:pStyle w:val="49"/>
              <w:widowControl/>
              <w:spacing w:line="240" w:lineRule="auto"/>
              <w:ind w:left="90"/>
              <w:jc w:val="left"/>
              <w:rPr>
                <w:rFonts w:hint="eastAsia"/>
                <w:color w:val="auto"/>
              </w:rPr>
            </w:pPr>
            <w:r>
              <w:rPr>
                <w:color w:val="auto"/>
              </w:rPr>
              <w:t xml:space="preserve">验证试剂盒  </w:t>
            </w:r>
            <w:r>
              <w:rPr>
                <w:rFonts w:hint="eastAsia" w:ascii="宋体" w:hAnsi="宋体"/>
                <w:color w:val="auto"/>
              </w:rPr>
              <w:t xml:space="preserve">  1盒</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b/>
                <w:bCs/>
                <w:color w:val="auto"/>
                <w:kern w:val="0"/>
              </w:rPr>
            </w:pPr>
            <w:r>
              <w:rPr>
                <w:rFonts w:hint="eastAsia" w:ascii="宋体" w:hAnsi="宋体" w:cs="宋体"/>
                <w:color w:val="auto"/>
                <w:kern w:val="0"/>
              </w:rPr>
              <w:t>3.</w:t>
            </w:r>
            <w:r>
              <w:rPr>
                <w:rFonts w:ascii="宋体" w:hAnsi="宋体" w:cs="宋体"/>
                <w:color w:val="auto"/>
                <w:kern w:val="0"/>
              </w:rPr>
              <w:t>6</w:t>
            </w:r>
          </w:p>
        </w:tc>
        <w:tc>
          <w:tcPr>
            <w:tcW w:w="2069" w:type="dxa"/>
            <w:noWrap w:val="0"/>
            <w:vAlign w:val="center"/>
          </w:tcPr>
          <w:p>
            <w:pPr>
              <w:widowControl/>
              <w:spacing w:line="240" w:lineRule="auto"/>
              <w:jc w:val="center"/>
              <w:rPr>
                <w:rFonts w:hint="eastAsia" w:ascii="宋体" w:hAnsi="宋体" w:cs="宋体"/>
                <w:b/>
                <w:bCs/>
                <w:color w:val="auto"/>
                <w:kern w:val="0"/>
              </w:rPr>
            </w:pPr>
            <w:r>
              <w:rPr>
                <w:rFonts w:hint="eastAsia" w:ascii="宋体" w:hAnsi="宋体" w:cs="宋体"/>
                <w:color w:val="auto"/>
                <w:kern w:val="0"/>
                <w:sz w:val="21"/>
                <w:szCs w:val="21"/>
              </w:rPr>
              <w:t>配置</w:t>
            </w:r>
            <w:r>
              <w:rPr>
                <w:rFonts w:ascii="宋体" w:hAnsi="宋体" w:cs="宋体"/>
                <w:color w:val="auto"/>
                <w:kern w:val="0"/>
                <w:sz w:val="21"/>
                <w:szCs w:val="21"/>
              </w:rPr>
              <w:t>6</w:t>
            </w:r>
          </w:p>
        </w:tc>
        <w:tc>
          <w:tcPr>
            <w:tcW w:w="5839" w:type="dxa"/>
            <w:noWrap w:val="0"/>
            <w:vAlign w:val="center"/>
          </w:tcPr>
          <w:p>
            <w:pPr>
              <w:spacing w:line="276" w:lineRule="auto"/>
              <w:jc w:val="left"/>
              <w:rPr>
                <w:rFonts w:hint="eastAsia" w:ascii="宋体" w:hAnsi="宋体"/>
                <w:color w:val="auto"/>
                <w:kern w:val="0"/>
                <w:sz w:val="21"/>
                <w:szCs w:val="21"/>
              </w:rPr>
            </w:pPr>
            <w:r>
              <w:rPr>
                <w:color w:val="auto"/>
              </w:rPr>
              <w:t>鞘液</w:t>
            </w:r>
            <w:r>
              <w:rPr>
                <w:rFonts w:hint="eastAsia"/>
                <w:color w:val="auto"/>
              </w:rPr>
              <w:t xml:space="preserve"> </w:t>
            </w:r>
            <w:r>
              <w:rPr>
                <w:color w:val="auto"/>
              </w:rPr>
              <w:t xml:space="preserve">   </w:t>
            </w:r>
            <w:r>
              <w:rPr>
                <w:rFonts w:hint="eastAsia" w:ascii="宋体" w:hAnsi="宋体"/>
                <w:color w:val="auto"/>
              </w:rPr>
              <w:t>1盒</w:t>
            </w:r>
          </w:p>
        </w:tc>
        <w:tc>
          <w:tcPr>
            <w:tcW w:w="85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0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839" w:type="dxa"/>
            <w:noWrap w:val="0"/>
            <w:vAlign w:val="center"/>
          </w:tcPr>
          <w:p>
            <w:pPr>
              <w:spacing w:line="276" w:lineRule="auto"/>
              <w:jc w:val="left"/>
              <w:rPr>
                <w:rFonts w:hint="eastAsia" w:ascii="宋体" w:hAnsi="宋体"/>
                <w:color w:val="auto"/>
                <w:kern w:val="0"/>
                <w:sz w:val="21"/>
                <w:szCs w:val="21"/>
              </w:rPr>
            </w:pPr>
          </w:p>
        </w:tc>
        <w:tc>
          <w:tcPr>
            <w:tcW w:w="85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海外安装,海外维保≥3年</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配件供应时间≥10年</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提供耗材及主要零配件目录（含报价）</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提供详细操作手册、维修保养手册、安装手册等</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提供维修专用工具1套</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保修期内提供定期维护保养服务</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开放</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终身免费软件升级</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技术培训</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支持</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839"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支持</w:t>
            </w:r>
          </w:p>
        </w:tc>
        <w:tc>
          <w:tcPr>
            <w:tcW w:w="854" w:type="dxa"/>
            <w:noWrap w:val="0"/>
            <w:vAlign w:val="center"/>
          </w:tcPr>
          <w:p>
            <w:pPr>
              <w:widowControl/>
              <w:spacing w:line="240" w:lineRule="auto"/>
              <w:jc w:val="center"/>
              <w:rPr>
                <w:rFonts w:ascii="宋体" w:hAnsi="宋体" w:cs="宋体"/>
                <w:color w:val="auto"/>
                <w:kern w:val="0"/>
              </w:rPr>
            </w:pPr>
          </w:p>
        </w:tc>
      </w:tr>
    </w:tbl>
    <w:p>
      <w:pPr>
        <w:rPr>
          <w:color w:val="auto"/>
        </w:rPr>
      </w:pPr>
      <w:r>
        <w:rPr>
          <w:color w:val="auto"/>
        </w:rPr>
        <w:br w:type="page"/>
      </w:r>
    </w:p>
    <w:p>
      <w:pPr>
        <w:adjustRightInd w:val="0"/>
        <w:snapToGrid w:val="0"/>
        <w:spacing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Times New Roman"/>
          <w:bCs/>
          <w:color w:val="auto"/>
          <w:kern w:val="0"/>
          <w:sz w:val="44"/>
          <w:szCs w:val="44"/>
          <w:lang w:val="en-US" w:eastAsia="zh-CN"/>
        </w:rPr>
        <w:t>6.</w:t>
      </w:r>
      <w:r>
        <w:rPr>
          <w:rFonts w:hint="eastAsia" w:ascii="方正小标宋简体" w:hAnsi="宋体" w:eastAsia="方正小标宋简体" w:cs="Times New Roman"/>
          <w:bCs/>
          <w:color w:val="auto"/>
          <w:kern w:val="0"/>
          <w:sz w:val="44"/>
          <w:szCs w:val="44"/>
        </w:rPr>
        <w:t>荧光定量PCR仪</w:t>
      </w:r>
      <w:r>
        <w:rPr>
          <w:rFonts w:hint="eastAsia" w:ascii="方正小标宋简体" w:hAnsi="宋体" w:eastAsia="方正小标宋简体" w:cs="Times New Roman"/>
          <w:bCs/>
          <w:color w:val="auto"/>
          <w:kern w:val="0"/>
          <w:sz w:val="44"/>
          <w:szCs w:val="44"/>
          <w:lang w:eastAsia="zh-CN"/>
        </w:rPr>
        <w:t>技术要求</w:t>
      </w:r>
    </w:p>
    <w:tbl>
      <w:tblPr>
        <w:tblStyle w:val="20"/>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4"/>
        <w:gridCol w:w="1711"/>
        <w:gridCol w:w="660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序号</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技术和性能参</w:t>
            </w:r>
            <w:r>
              <w:rPr>
                <w:rFonts w:hint="eastAsia" w:ascii="宋体" w:hAnsi="宋体" w:cs="宋体"/>
                <w:b/>
                <w:color w:val="auto"/>
                <w:kern w:val="0"/>
              </w:rPr>
              <w:br w:type="textWrapping"/>
            </w:r>
            <w:r>
              <w:rPr>
                <w:rFonts w:hint="eastAsia" w:ascii="宋体" w:hAnsi="宋体" w:cs="宋体"/>
                <w:b/>
                <w:color w:val="auto"/>
                <w:kern w:val="0"/>
              </w:rPr>
              <w:t>数名称</w:t>
            </w:r>
          </w:p>
        </w:tc>
        <w:tc>
          <w:tcPr>
            <w:tcW w:w="6605"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技术参数和性能要求</w:t>
            </w:r>
          </w:p>
        </w:tc>
        <w:tc>
          <w:tcPr>
            <w:tcW w:w="857"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设备使用需求</w:t>
            </w:r>
          </w:p>
        </w:tc>
        <w:tc>
          <w:tcPr>
            <w:tcW w:w="6605" w:type="dxa"/>
            <w:shd w:val="clear" w:color="auto" w:fill="auto"/>
            <w:tcMar>
              <w:top w:w="17" w:type="dxa"/>
              <w:left w:w="74" w:type="dxa"/>
              <w:right w:w="74" w:type="dxa"/>
            </w:tcMar>
            <w:vAlign w:val="center"/>
          </w:tcPr>
          <w:p>
            <w:pPr>
              <w:jc w:val="center"/>
              <w:rPr>
                <w:rFonts w:ascii="宋体" w:hAnsi="宋体" w:cs="宋体"/>
                <w:b/>
                <w:color w:val="auto"/>
              </w:rPr>
            </w:pPr>
          </w:p>
        </w:tc>
        <w:tc>
          <w:tcPr>
            <w:tcW w:w="857"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设备用途</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Arial"/>
                <w:color w:val="auto"/>
              </w:rPr>
              <w:t>配合核酸检测试剂对样本进行定性定量分析</w:t>
            </w:r>
          </w:p>
        </w:tc>
        <w:tc>
          <w:tcPr>
            <w:tcW w:w="857"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实验对象</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rPr>
            </w:pPr>
            <w:r>
              <w:rPr>
                <w:rFonts w:hint="eastAsia" w:ascii="宋体" w:hAnsi="宋体" w:cs="宋体"/>
                <w:color w:val="auto"/>
              </w:rPr>
              <w:t>D</w:t>
            </w:r>
            <w:r>
              <w:rPr>
                <w:rFonts w:ascii="宋体" w:hAnsi="宋体" w:cs="宋体"/>
                <w:color w:val="auto"/>
              </w:rPr>
              <w:t>NA</w:t>
            </w:r>
            <w:r>
              <w:rPr>
                <w:rFonts w:hint="eastAsia" w:ascii="宋体" w:hAnsi="宋体" w:cs="宋体"/>
                <w:color w:val="auto"/>
              </w:rPr>
              <w:t>或R</w:t>
            </w:r>
            <w:r>
              <w:rPr>
                <w:rFonts w:ascii="宋体" w:hAnsi="宋体" w:cs="宋体"/>
                <w:color w:val="auto"/>
              </w:rPr>
              <w:t>NA</w:t>
            </w:r>
          </w:p>
        </w:tc>
        <w:tc>
          <w:tcPr>
            <w:tcW w:w="857"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特殊功能需求</w:t>
            </w:r>
          </w:p>
        </w:tc>
        <w:tc>
          <w:tcPr>
            <w:tcW w:w="6605" w:type="dxa"/>
            <w:shd w:val="clear" w:color="auto" w:fill="auto"/>
            <w:tcMar>
              <w:top w:w="17" w:type="dxa"/>
              <w:left w:w="74" w:type="dxa"/>
              <w:right w:w="74" w:type="dxa"/>
            </w:tcMar>
            <w:vAlign w:val="center"/>
          </w:tcPr>
          <w:p>
            <w:pPr>
              <w:jc w:val="left"/>
              <w:rPr>
                <w:rFonts w:ascii="宋体" w:hAnsi="宋体" w:cs="宋体"/>
                <w:color w:val="auto"/>
              </w:rPr>
            </w:pPr>
          </w:p>
        </w:tc>
        <w:tc>
          <w:tcPr>
            <w:tcW w:w="857"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主要技术参数</w:t>
            </w:r>
          </w:p>
        </w:tc>
        <w:tc>
          <w:tcPr>
            <w:tcW w:w="6605" w:type="dxa"/>
            <w:shd w:val="clear" w:color="auto" w:fill="auto"/>
            <w:tcMar>
              <w:top w:w="17" w:type="dxa"/>
              <w:left w:w="74" w:type="dxa"/>
              <w:right w:w="74" w:type="dxa"/>
            </w:tcMar>
            <w:vAlign w:val="center"/>
          </w:tcPr>
          <w:p>
            <w:pPr>
              <w:jc w:val="center"/>
              <w:rPr>
                <w:rFonts w:ascii="宋体" w:hAnsi="宋体" w:cs="宋体"/>
                <w:color w:val="auto"/>
              </w:rPr>
            </w:pPr>
          </w:p>
        </w:tc>
        <w:tc>
          <w:tcPr>
            <w:tcW w:w="857"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★参数1</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kern w:val="0"/>
                <w:sz w:val="22"/>
                <w:szCs w:val="22"/>
              </w:rPr>
            </w:pPr>
            <w:r>
              <w:rPr>
                <w:rFonts w:hint="eastAsia" w:ascii="宋体" w:hAnsi="宋体" w:cs="宋体"/>
                <w:color w:val="auto"/>
                <w:kern w:val="0"/>
                <w:sz w:val="22"/>
                <w:szCs w:val="22"/>
              </w:rPr>
              <w:t>荧光通道≧5个</w:t>
            </w:r>
          </w:p>
        </w:tc>
        <w:tc>
          <w:tcPr>
            <w:tcW w:w="857"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★参数2</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Arial"/>
                <w:color w:val="auto"/>
                <w:sz w:val="22"/>
              </w:rPr>
              <w:t>经典的9</w:t>
            </w:r>
            <w:r>
              <w:rPr>
                <w:rFonts w:ascii="宋体" w:hAnsi="宋体" w:cs="Arial"/>
                <w:color w:val="auto"/>
                <w:sz w:val="22"/>
              </w:rPr>
              <w:t>6</w:t>
            </w:r>
            <w:r>
              <w:rPr>
                <w:rFonts w:hint="eastAsia" w:ascii="宋体" w:hAnsi="宋体" w:cs="Arial"/>
                <w:color w:val="auto"/>
                <w:sz w:val="22"/>
              </w:rPr>
              <w:t>孔板式样本槽。耗材兼容性强，</w:t>
            </w:r>
            <w:r>
              <w:rPr>
                <w:rFonts w:hint="eastAsia" w:ascii="宋体" w:hAnsi="宋体" w:cs="Arial"/>
                <w:color w:val="auto"/>
                <w:sz w:val="22"/>
                <w:u w:color="FF0000"/>
              </w:rPr>
              <w:t>同时兼容0</w:t>
            </w:r>
            <w:r>
              <w:rPr>
                <w:rFonts w:ascii="宋体" w:hAnsi="宋体" w:cs="Arial"/>
                <w:color w:val="auto"/>
                <w:sz w:val="22"/>
                <w:u w:color="FF0000"/>
              </w:rPr>
              <w:t>.1/</w:t>
            </w:r>
            <w:r>
              <w:rPr>
                <w:rFonts w:hint="eastAsia" w:ascii="宋体" w:hAnsi="宋体" w:cs="Arial"/>
                <w:color w:val="auto"/>
                <w:sz w:val="22"/>
                <w:u w:color="FF0000"/>
              </w:rPr>
              <w:t>0</w:t>
            </w:r>
            <w:r>
              <w:rPr>
                <w:rFonts w:ascii="宋体" w:hAnsi="宋体" w:cs="Arial"/>
                <w:color w:val="auto"/>
                <w:sz w:val="22"/>
                <w:u w:color="FF0000"/>
              </w:rPr>
              <w:t>.2ml</w:t>
            </w:r>
            <w:r>
              <w:rPr>
                <w:rFonts w:hint="eastAsia" w:ascii="宋体" w:hAnsi="宋体" w:cs="Arial"/>
                <w:color w:val="auto"/>
                <w:sz w:val="22"/>
                <w:u w:color="FF0000"/>
              </w:rPr>
              <w:t>的P</w:t>
            </w:r>
            <w:r>
              <w:rPr>
                <w:rFonts w:ascii="宋体" w:hAnsi="宋体" w:cs="Arial"/>
                <w:color w:val="auto"/>
                <w:sz w:val="22"/>
                <w:u w:color="FF0000"/>
              </w:rPr>
              <w:t>CR</w:t>
            </w:r>
            <w:r>
              <w:rPr>
                <w:rFonts w:hint="eastAsia" w:ascii="宋体" w:hAnsi="宋体" w:cs="Arial"/>
                <w:color w:val="auto"/>
                <w:sz w:val="22"/>
                <w:u w:color="FF0000"/>
              </w:rPr>
              <w:t>单管，8连条管和9</w:t>
            </w:r>
            <w:r>
              <w:rPr>
                <w:rFonts w:ascii="宋体" w:hAnsi="宋体" w:cs="Arial"/>
                <w:color w:val="auto"/>
                <w:sz w:val="22"/>
                <w:u w:color="FF0000"/>
              </w:rPr>
              <w:t>6</w:t>
            </w:r>
            <w:r>
              <w:rPr>
                <w:rFonts w:hint="eastAsia" w:ascii="宋体" w:hAnsi="宋体" w:cs="Arial"/>
                <w:color w:val="auto"/>
                <w:sz w:val="22"/>
                <w:u w:color="FF0000"/>
              </w:rPr>
              <w:t>孔板（有无裙边均可）</w:t>
            </w:r>
          </w:p>
        </w:tc>
        <w:tc>
          <w:tcPr>
            <w:tcW w:w="857"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3</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最大升温速度不低于8℃/s，最大降温速度不低于6℃/s</w:t>
            </w:r>
          </w:p>
        </w:tc>
        <w:tc>
          <w:tcPr>
            <w:tcW w:w="857"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4</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具有温度梯度功能，梯度区间可达40℃，温度梯度数量≧12个</w:t>
            </w:r>
          </w:p>
        </w:tc>
        <w:tc>
          <w:tcPr>
            <w:tcW w:w="857"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▲参数5</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具有的8道光纤穿梭检测系统，无边缘效应，无需进行R</w:t>
            </w:r>
            <w:r>
              <w:rPr>
                <w:rFonts w:ascii="宋体" w:hAnsi="宋体" w:cs="宋体"/>
                <w:color w:val="auto"/>
                <w:sz w:val="22"/>
                <w:szCs w:val="22"/>
              </w:rPr>
              <w:t>OX</w:t>
            </w:r>
            <w:r>
              <w:rPr>
                <w:rFonts w:hint="eastAsia" w:ascii="宋体" w:hAnsi="宋体" w:cs="宋体"/>
                <w:color w:val="auto"/>
                <w:sz w:val="22"/>
                <w:szCs w:val="22"/>
              </w:rPr>
              <w:t>校正</w:t>
            </w:r>
          </w:p>
        </w:tc>
        <w:tc>
          <w:tcPr>
            <w:tcW w:w="857"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▲参数6</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采用高灵敏度的光电倍增管检测（PMT）进行检测</w:t>
            </w:r>
          </w:p>
        </w:tc>
        <w:tc>
          <w:tcPr>
            <w:tcW w:w="857"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▲参数7</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可选配与荧光定量P</w:t>
            </w:r>
            <w:r>
              <w:rPr>
                <w:rFonts w:ascii="宋体" w:hAnsi="宋体" w:cs="宋体"/>
                <w:color w:val="auto"/>
                <w:sz w:val="22"/>
                <w:szCs w:val="22"/>
              </w:rPr>
              <w:t>CR</w:t>
            </w:r>
            <w:r>
              <w:rPr>
                <w:rFonts w:hint="eastAsia" w:ascii="宋体" w:hAnsi="宋体" w:cs="宋体"/>
                <w:color w:val="auto"/>
                <w:sz w:val="22"/>
                <w:szCs w:val="22"/>
              </w:rPr>
              <w:t>仪同品牌的C</w:t>
            </w:r>
            <w:r>
              <w:rPr>
                <w:rFonts w:ascii="宋体" w:hAnsi="宋体" w:cs="宋体"/>
                <w:color w:val="auto"/>
                <w:sz w:val="22"/>
                <w:szCs w:val="22"/>
              </w:rPr>
              <w:t>LC</w:t>
            </w:r>
            <w:r>
              <w:rPr>
                <w:rFonts w:hint="eastAsia" w:ascii="宋体" w:hAnsi="宋体" w:cs="宋体"/>
                <w:color w:val="auto"/>
                <w:sz w:val="22"/>
                <w:szCs w:val="22"/>
              </w:rPr>
              <w:t>生物信息学分析软件，须提供软件宣传资料</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参数</w:t>
            </w:r>
            <w:r>
              <w:rPr>
                <w:rFonts w:ascii="宋体" w:hAnsi="宋体" w:cs="宋体"/>
                <w:color w:val="auto"/>
                <w:sz w:val="22"/>
                <w:szCs w:val="22"/>
              </w:rPr>
              <w:t>8</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动态范围≧10个</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w:t>
            </w:r>
            <w:r>
              <w:rPr>
                <w:rFonts w:ascii="宋体" w:hAnsi="宋体" w:cs="宋体"/>
                <w:color w:val="auto"/>
                <w:kern w:val="0"/>
              </w:rPr>
              <w:t>9</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PCR反应体积5-100ul，推荐10-80ul</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2.10</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参数10</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rPr>
              <w:t>温度均一性：在55℃时，＜±0.15℃</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配置需求</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配置1</w:t>
            </w:r>
          </w:p>
        </w:tc>
        <w:tc>
          <w:tcPr>
            <w:tcW w:w="6605" w:type="dxa"/>
            <w:shd w:val="clear" w:color="auto" w:fill="auto"/>
            <w:noWrap/>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荧光定量P</w:t>
            </w:r>
            <w:r>
              <w:rPr>
                <w:rFonts w:ascii="宋体" w:hAnsi="宋体" w:cs="宋体"/>
                <w:color w:val="auto"/>
                <w:sz w:val="22"/>
                <w:szCs w:val="22"/>
              </w:rPr>
              <w:t>CR</w:t>
            </w:r>
            <w:r>
              <w:rPr>
                <w:rFonts w:hint="eastAsia" w:ascii="宋体" w:hAnsi="宋体" w:cs="宋体"/>
                <w:color w:val="auto"/>
                <w:sz w:val="22"/>
                <w:szCs w:val="22"/>
              </w:rPr>
              <w:t>仪主机一台</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配置2</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配套分析软件1套</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配置3</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电脑1台</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配置4</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说明书1份</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售后服务</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保修年限</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出现故障回应时间</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维修响应时间≤ 24小时</w:t>
            </w:r>
            <w:r>
              <w:rPr>
                <w:rFonts w:hint="eastAsia" w:ascii="宋体" w:hAnsi="宋体" w:cs="宋体"/>
                <w:color w:val="auto"/>
                <w:kern w:val="0"/>
              </w:rPr>
              <w:br w:type="textWrapping"/>
            </w:r>
            <w:r>
              <w:rPr>
                <w:rFonts w:hint="eastAsia" w:ascii="宋体" w:hAnsi="宋体" w:cs="宋体"/>
                <w:color w:val="auto"/>
                <w:kern w:val="0"/>
              </w:rPr>
              <w:t>维修修复时间≤45天</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维修支持</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配件供应时间≥10年</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4.4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耗材及零配件</w:t>
            </w:r>
          </w:p>
        </w:tc>
        <w:tc>
          <w:tcPr>
            <w:tcW w:w="6605" w:type="dxa"/>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rPr>
              <w:t>提供耗材及主要零配件目录（含报价）</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维修资料</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提供详细操作手册、维修保养手册、安装手册等</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维修工具</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提供维修专用工具1套</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保修期内提供定期维护保养服务</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维修密码支持</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开放</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升级</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终身免费软件升级</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使用培训</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工程师培训</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7.</w:t>
      </w:r>
      <w:r>
        <w:rPr>
          <w:rFonts w:hint="eastAsia" w:ascii="方正小标宋简体" w:hAnsi="宋体" w:eastAsia="方正小标宋简体" w:cs="宋体"/>
          <w:bCs/>
          <w:color w:val="auto"/>
          <w:kern w:val="0"/>
          <w:sz w:val="44"/>
          <w:szCs w:val="44"/>
        </w:rPr>
        <w:t>负20/负40℃低温冰箱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212"/>
        <w:gridCol w:w="506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21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06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9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21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061" w:type="dxa"/>
            <w:noWrap w:val="0"/>
            <w:vAlign w:val="center"/>
          </w:tcPr>
          <w:p>
            <w:pPr>
              <w:widowControl/>
              <w:spacing w:line="240" w:lineRule="auto"/>
              <w:jc w:val="center"/>
              <w:rPr>
                <w:rFonts w:ascii="宋体" w:hAnsi="宋体" w:cs="宋体"/>
                <w:b/>
                <w:bCs/>
                <w:color w:val="auto"/>
                <w:kern w:val="0"/>
              </w:rPr>
            </w:pP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21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061"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用于冷冻冰排、储存血浆、试剂及各种需要冷冻储存的物品。</w:t>
            </w: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212"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061"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89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212"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061" w:type="dxa"/>
            <w:noWrap w:val="0"/>
            <w:vAlign w:val="center"/>
          </w:tcPr>
          <w:p>
            <w:pPr>
              <w:widowControl/>
              <w:spacing w:line="240" w:lineRule="auto"/>
              <w:rPr>
                <w:rFonts w:ascii="宋体" w:hAnsi="宋体" w:cs="宋体"/>
                <w:bCs/>
                <w:color w:val="auto"/>
                <w:kern w:val="0"/>
                <w:sz w:val="21"/>
                <w:szCs w:val="21"/>
              </w:rPr>
            </w:pP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212"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061" w:type="dxa"/>
            <w:noWrap w:val="0"/>
            <w:vAlign w:val="center"/>
          </w:tcPr>
          <w:p>
            <w:pPr>
              <w:widowControl/>
              <w:spacing w:line="240" w:lineRule="auto"/>
              <w:jc w:val="center"/>
              <w:rPr>
                <w:rFonts w:ascii="宋体" w:hAnsi="宋体" w:cs="宋体"/>
                <w:color w:val="auto"/>
                <w:kern w:val="0"/>
                <w:sz w:val="21"/>
                <w:szCs w:val="21"/>
              </w:rPr>
            </w:pP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21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061" w:type="dxa"/>
            <w:noWrap w:val="0"/>
            <w:vAlign w:val="center"/>
          </w:tcPr>
          <w:p>
            <w:pPr>
              <w:rPr>
                <w:rFonts w:hint="eastAsia" w:ascii="宋体" w:hAnsi="宋体"/>
                <w:color w:val="auto"/>
                <w:sz w:val="21"/>
                <w:szCs w:val="21"/>
              </w:rPr>
            </w:pPr>
            <w:r>
              <w:rPr>
                <w:rFonts w:hint="eastAsia" w:ascii="宋体" w:hAnsi="宋体"/>
                <w:color w:val="auto"/>
                <w:sz w:val="21"/>
                <w:szCs w:val="21"/>
              </w:rPr>
              <w:t>有效容积：≥270L。</w:t>
            </w:r>
          </w:p>
        </w:tc>
        <w:tc>
          <w:tcPr>
            <w:tcW w:w="89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061" w:type="dxa"/>
            <w:noWrap w:val="0"/>
            <w:vAlign w:val="center"/>
          </w:tcPr>
          <w:p>
            <w:pPr>
              <w:spacing w:line="240" w:lineRule="auto"/>
              <w:rPr>
                <w:rFonts w:hint="eastAsia"/>
                <w:color w:val="auto"/>
                <w:sz w:val="21"/>
                <w:szCs w:val="21"/>
              </w:rPr>
            </w:pPr>
            <w:r>
              <w:rPr>
                <w:rFonts w:hint="eastAsia"/>
                <w:color w:val="auto"/>
                <w:sz w:val="21"/>
                <w:szCs w:val="21"/>
              </w:rPr>
              <w:t>每层有蒸发器，确保箱内温度均匀性≤3℃。</w:t>
            </w:r>
          </w:p>
        </w:tc>
        <w:tc>
          <w:tcPr>
            <w:tcW w:w="896"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2.3</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5061" w:type="dxa"/>
            <w:noWrap w:val="0"/>
            <w:vAlign w:val="center"/>
          </w:tcPr>
          <w:p>
            <w:pPr>
              <w:spacing w:line="240" w:lineRule="auto"/>
              <w:rPr>
                <w:rFonts w:hint="eastAsia"/>
                <w:color w:val="auto"/>
                <w:sz w:val="21"/>
                <w:szCs w:val="21"/>
              </w:rPr>
            </w:pPr>
            <w:r>
              <w:rPr>
                <w:rFonts w:hint="eastAsia"/>
                <w:color w:val="auto"/>
                <w:sz w:val="21"/>
                <w:szCs w:val="21"/>
              </w:rPr>
              <w:t>保温材料：无CFC聚氨酯发泡保温层。</w:t>
            </w:r>
          </w:p>
        </w:tc>
        <w:tc>
          <w:tcPr>
            <w:tcW w:w="89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061" w:type="dxa"/>
            <w:noWrap w:val="0"/>
            <w:vAlign w:val="center"/>
          </w:tcPr>
          <w:p>
            <w:pPr>
              <w:rPr>
                <w:rFonts w:hint="eastAsia" w:ascii="宋体" w:hAnsi="宋体"/>
                <w:color w:val="auto"/>
                <w:sz w:val="21"/>
                <w:szCs w:val="21"/>
              </w:rPr>
            </w:pPr>
            <w:r>
              <w:rPr>
                <w:rFonts w:hint="eastAsia" w:ascii="宋体" w:hAnsi="宋体"/>
                <w:color w:val="auto"/>
                <w:sz w:val="21"/>
                <w:szCs w:val="21"/>
              </w:rPr>
              <w:t>制冷剂：无氟环保制冷剂。</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061" w:type="dxa"/>
            <w:noWrap w:val="0"/>
            <w:vAlign w:val="center"/>
          </w:tcPr>
          <w:p>
            <w:pPr>
              <w:rPr>
                <w:rFonts w:ascii="宋体" w:hAnsi="宋体"/>
                <w:color w:val="auto"/>
                <w:sz w:val="21"/>
                <w:szCs w:val="21"/>
              </w:rPr>
            </w:pPr>
            <w:r>
              <w:rPr>
                <w:rFonts w:hint="eastAsia" w:ascii="宋体" w:hAnsi="宋体"/>
                <w:color w:val="auto"/>
                <w:sz w:val="21"/>
                <w:szCs w:val="21"/>
              </w:rPr>
              <w:t>数码</w:t>
            </w:r>
            <w:r>
              <w:rPr>
                <w:rFonts w:ascii="宋体" w:hAnsi="宋体"/>
                <w:color w:val="auto"/>
                <w:sz w:val="21"/>
                <w:szCs w:val="21"/>
              </w:rPr>
              <w:t>温度显示</w:t>
            </w:r>
            <w:r>
              <w:rPr>
                <w:rFonts w:hint="eastAsia" w:ascii="宋体" w:hAnsi="宋体"/>
                <w:color w:val="auto"/>
                <w:sz w:val="21"/>
                <w:szCs w:val="21"/>
              </w:rPr>
              <w:t>，温度-20℃~-40℃范围内任意设定，显示精度1℃。</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061" w:type="dxa"/>
            <w:noWrap w:val="0"/>
            <w:vAlign w:val="center"/>
          </w:tcPr>
          <w:p>
            <w:pPr>
              <w:rPr>
                <w:rFonts w:hint="eastAsia" w:ascii="宋体" w:hAnsi="宋体"/>
                <w:color w:val="auto"/>
                <w:sz w:val="21"/>
                <w:szCs w:val="21"/>
              </w:rPr>
            </w:pPr>
            <w:r>
              <w:rPr>
                <w:rFonts w:hint="eastAsia" w:ascii="宋体" w:hAnsi="宋体"/>
                <w:color w:val="auto"/>
                <w:sz w:val="21"/>
                <w:szCs w:val="21"/>
              </w:rPr>
              <w:t xml:space="preserve">声光报警系统：高低温报警、箱内传感器故障报警、开门报警等多重保障，全面保障样本安全。 </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061" w:type="dxa"/>
            <w:noWrap w:val="0"/>
            <w:vAlign w:val="center"/>
          </w:tcPr>
          <w:p>
            <w:pPr>
              <w:rPr>
                <w:rFonts w:hint="eastAsia" w:ascii="宋体" w:hAnsi="宋体"/>
                <w:color w:val="auto"/>
                <w:sz w:val="21"/>
                <w:szCs w:val="21"/>
              </w:rPr>
            </w:pPr>
            <w:r>
              <w:rPr>
                <w:rFonts w:hint="eastAsia" w:ascii="宋体" w:hAnsi="宋体"/>
                <w:color w:val="auto"/>
                <w:sz w:val="21"/>
                <w:szCs w:val="21"/>
              </w:rPr>
              <w:t>箱体材质：喷涂钢板，防腐磷化工艺处理。</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061" w:type="dxa"/>
            <w:noWrap w:val="0"/>
            <w:vAlign w:val="center"/>
          </w:tcPr>
          <w:p>
            <w:pPr>
              <w:rPr>
                <w:rFonts w:hint="eastAsia" w:ascii="宋体" w:hAnsi="宋体"/>
                <w:color w:val="auto"/>
                <w:sz w:val="21"/>
                <w:szCs w:val="21"/>
              </w:rPr>
            </w:pPr>
            <w:r>
              <w:rPr>
                <w:rFonts w:hint="eastAsia" w:ascii="宋体" w:hAnsi="宋体"/>
                <w:color w:val="auto"/>
                <w:sz w:val="21"/>
                <w:szCs w:val="21"/>
              </w:rPr>
              <w:t>内胆材料：喷涂铝板内胆。</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21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061" w:type="dxa"/>
            <w:noWrap w:val="0"/>
            <w:vAlign w:val="center"/>
          </w:tcPr>
          <w:p>
            <w:pPr>
              <w:rPr>
                <w:rFonts w:hint="eastAsia" w:ascii="宋体" w:hAnsi="宋体"/>
                <w:color w:val="auto"/>
                <w:sz w:val="21"/>
                <w:szCs w:val="21"/>
              </w:rPr>
            </w:pPr>
            <w:r>
              <w:rPr>
                <w:rFonts w:hint="eastAsia" w:ascii="宋体" w:hAnsi="宋体"/>
                <w:color w:val="auto"/>
                <w:sz w:val="21"/>
                <w:szCs w:val="21"/>
              </w:rPr>
              <w:t>配置一个测试孔，箱体配锁。</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212"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0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21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061"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21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0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89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06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21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p>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8.</w:t>
      </w:r>
      <w:r>
        <w:rPr>
          <w:rFonts w:hint="eastAsia" w:ascii="方正小标宋简体" w:hAnsi="宋体" w:eastAsia="方正小标宋简体" w:cs="宋体"/>
          <w:bCs/>
          <w:color w:val="auto"/>
          <w:kern w:val="0"/>
          <w:sz w:val="44"/>
          <w:szCs w:val="44"/>
        </w:rPr>
        <w:t>2-8℃医用冷藏箱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99"/>
        <w:gridCol w:w="516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9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6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9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60" w:type="dxa"/>
            <w:noWrap w:val="0"/>
            <w:vAlign w:val="center"/>
          </w:tcPr>
          <w:p>
            <w:pPr>
              <w:widowControl/>
              <w:spacing w:line="240" w:lineRule="auto"/>
              <w:jc w:val="center"/>
              <w:rPr>
                <w:rFonts w:ascii="宋体" w:hAnsi="宋体" w:cs="宋体"/>
                <w:b/>
                <w:bCs/>
                <w:color w:val="auto"/>
                <w:kern w:val="0"/>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9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60"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用于药品、试剂及各种需要冷藏储存的物品。</w:t>
            </w: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99"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60"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91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099"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60" w:type="dxa"/>
            <w:noWrap w:val="0"/>
            <w:vAlign w:val="center"/>
          </w:tcPr>
          <w:p>
            <w:pPr>
              <w:widowControl/>
              <w:spacing w:line="240" w:lineRule="auto"/>
              <w:rPr>
                <w:rFonts w:ascii="宋体" w:hAnsi="宋体" w:cs="宋体"/>
                <w:bCs/>
                <w:color w:val="auto"/>
                <w:kern w:val="0"/>
                <w:sz w:val="21"/>
                <w:szCs w:val="21"/>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09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60" w:type="dxa"/>
            <w:noWrap w:val="0"/>
            <w:vAlign w:val="center"/>
          </w:tcPr>
          <w:p>
            <w:pPr>
              <w:widowControl/>
              <w:spacing w:line="240" w:lineRule="auto"/>
              <w:jc w:val="center"/>
              <w:rPr>
                <w:rFonts w:ascii="宋体" w:hAnsi="宋体" w:cs="宋体"/>
                <w:color w:val="auto"/>
                <w:kern w:val="0"/>
                <w:sz w:val="21"/>
                <w:szCs w:val="21"/>
              </w:rPr>
            </w:pP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w:t>
            </w:r>
          </w:p>
        </w:tc>
        <w:tc>
          <w:tcPr>
            <w:tcW w:w="5160" w:type="dxa"/>
            <w:noWrap w:val="0"/>
            <w:vAlign w:val="center"/>
          </w:tcPr>
          <w:p>
            <w:pPr>
              <w:spacing w:line="240" w:lineRule="auto"/>
              <w:rPr>
                <w:rFonts w:hint="eastAsia"/>
                <w:color w:val="auto"/>
                <w:sz w:val="21"/>
                <w:szCs w:val="21"/>
              </w:rPr>
            </w:pPr>
            <w:r>
              <w:rPr>
                <w:rFonts w:hint="eastAsia"/>
                <w:color w:val="auto"/>
                <w:sz w:val="21"/>
                <w:szCs w:val="21"/>
              </w:rPr>
              <w:t>有效容积：≥1000L。</w:t>
            </w:r>
          </w:p>
        </w:tc>
        <w:tc>
          <w:tcPr>
            <w:tcW w:w="91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160" w:type="dxa"/>
            <w:noWrap w:val="0"/>
            <w:vAlign w:val="center"/>
          </w:tcPr>
          <w:p>
            <w:pPr>
              <w:spacing w:line="240" w:lineRule="auto"/>
              <w:rPr>
                <w:rFonts w:hint="eastAsia"/>
                <w:color w:val="auto"/>
                <w:sz w:val="21"/>
                <w:szCs w:val="21"/>
              </w:rPr>
            </w:pPr>
            <w:r>
              <w:rPr>
                <w:rFonts w:hint="eastAsia" w:ascii="宋体" w:hAnsi="宋体"/>
                <w:color w:val="auto"/>
                <w:sz w:val="21"/>
                <w:szCs w:val="21"/>
              </w:rPr>
              <w:t>温度：2-8℃范围可调。箱内温度波动范围±3℃</w:t>
            </w:r>
          </w:p>
        </w:tc>
        <w:tc>
          <w:tcPr>
            <w:tcW w:w="91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2.3</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5160" w:type="dxa"/>
            <w:noWrap w:val="0"/>
            <w:vAlign w:val="center"/>
          </w:tcPr>
          <w:p>
            <w:pPr>
              <w:rPr>
                <w:rFonts w:hint="eastAsia" w:ascii="宋体" w:hAnsi="宋体"/>
                <w:color w:val="auto"/>
                <w:sz w:val="21"/>
                <w:szCs w:val="21"/>
              </w:rPr>
            </w:pPr>
            <w:r>
              <w:rPr>
                <w:rFonts w:hint="eastAsia"/>
                <w:color w:val="auto"/>
                <w:sz w:val="21"/>
                <w:szCs w:val="21"/>
              </w:rPr>
              <w:t>保温材料为无CFC聚氨酯发泡。</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160" w:type="dxa"/>
            <w:noWrap w:val="0"/>
            <w:vAlign w:val="center"/>
          </w:tcPr>
          <w:p>
            <w:pPr>
              <w:spacing w:line="240" w:lineRule="auto"/>
              <w:rPr>
                <w:rFonts w:hint="eastAsia"/>
                <w:color w:val="auto"/>
                <w:sz w:val="21"/>
                <w:szCs w:val="21"/>
              </w:rPr>
            </w:pPr>
            <w:r>
              <w:rPr>
                <w:rFonts w:hint="eastAsia"/>
                <w:color w:val="auto"/>
                <w:sz w:val="21"/>
                <w:szCs w:val="21"/>
              </w:rPr>
              <w:t>箱内带灯，配置可调搁架, 带标签卡，方便存放物品标识。</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160" w:type="dxa"/>
            <w:noWrap w:val="0"/>
            <w:vAlign w:val="center"/>
          </w:tcPr>
          <w:p>
            <w:pPr>
              <w:rPr>
                <w:rFonts w:hint="eastAsia" w:ascii="宋体" w:hAnsi="宋体"/>
                <w:color w:val="auto"/>
                <w:sz w:val="21"/>
                <w:szCs w:val="21"/>
              </w:rPr>
            </w:pPr>
            <w:r>
              <w:rPr>
                <w:rFonts w:hint="eastAsia" w:ascii="宋体" w:hAnsi="宋体"/>
                <w:color w:val="auto"/>
                <w:sz w:val="21"/>
                <w:szCs w:val="21"/>
              </w:rPr>
              <w:t>具备自然化霜功能，冷凝水汇集后由蒸发管自动蒸发。</w:t>
            </w:r>
          </w:p>
        </w:tc>
        <w:tc>
          <w:tcPr>
            <w:tcW w:w="91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160" w:type="dxa"/>
            <w:noWrap w:val="0"/>
            <w:vAlign w:val="center"/>
          </w:tcPr>
          <w:p>
            <w:pPr>
              <w:rPr>
                <w:rFonts w:ascii="宋体" w:hAnsi="宋体"/>
                <w:color w:val="auto"/>
                <w:sz w:val="21"/>
                <w:szCs w:val="21"/>
              </w:rPr>
            </w:pPr>
            <w:r>
              <w:rPr>
                <w:rFonts w:hint="eastAsia" w:ascii="宋体" w:hAnsi="宋体"/>
                <w:color w:val="auto"/>
                <w:sz w:val="21"/>
                <w:szCs w:val="21"/>
              </w:rPr>
              <w:t>USB数据导出接口，可自动持续存储温度数据。</w:t>
            </w:r>
          </w:p>
        </w:tc>
        <w:tc>
          <w:tcPr>
            <w:tcW w:w="91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09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160" w:type="dxa"/>
            <w:noWrap w:val="0"/>
            <w:vAlign w:val="center"/>
          </w:tcPr>
          <w:p>
            <w:pPr>
              <w:rPr>
                <w:rFonts w:hint="eastAsia" w:ascii="宋体" w:hAnsi="宋体"/>
                <w:color w:val="auto"/>
                <w:sz w:val="21"/>
                <w:szCs w:val="21"/>
              </w:rPr>
            </w:pPr>
            <w:r>
              <w:rPr>
                <w:rFonts w:hint="eastAsia" w:ascii="宋体" w:hAnsi="宋体"/>
                <w:color w:val="auto"/>
                <w:sz w:val="21"/>
                <w:szCs w:val="21"/>
              </w:rPr>
              <w:t>报警功能：具有高温、低温、高环温报警、传感器故警、开门、断电报警、电池电量低报警、显示板通信故障报警、记录仪通讯故障报警等多种报警功能。</w:t>
            </w:r>
          </w:p>
        </w:tc>
        <w:tc>
          <w:tcPr>
            <w:tcW w:w="91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09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16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09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160"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09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16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91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16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09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6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9.</w:t>
      </w:r>
      <w:r>
        <w:rPr>
          <w:rFonts w:hint="eastAsia" w:ascii="方正小标宋简体" w:hAnsi="宋体" w:eastAsia="方正小标宋简体" w:cs="宋体"/>
          <w:bCs/>
          <w:color w:val="auto"/>
          <w:kern w:val="0"/>
          <w:sz w:val="44"/>
          <w:szCs w:val="44"/>
        </w:rPr>
        <w:t>漩涡混匀器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65"/>
        <w:gridCol w:w="529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6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29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0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6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295" w:type="dxa"/>
            <w:noWrap w:val="0"/>
            <w:vAlign w:val="center"/>
          </w:tcPr>
          <w:p>
            <w:pPr>
              <w:widowControl/>
              <w:spacing w:line="240" w:lineRule="auto"/>
              <w:jc w:val="center"/>
              <w:rPr>
                <w:rFonts w:ascii="宋体" w:hAnsi="宋体" w:cs="宋体"/>
                <w:b/>
                <w:bCs/>
                <w:color w:val="auto"/>
                <w:kern w:val="0"/>
              </w:rPr>
            </w:pPr>
          </w:p>
        </w:tc>
        <w:tc>
          <w:tcPr>
            <w:tcW w:w="80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6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295" w:type="dxa"/>
            <w:noWrap w:val="0"/>
            <w:vAlign w:val="center"/>
          </w:tcPr>
          <w:p>
            <w:pPr>
              <w:widowControl/>
              <w:spacing w:line="240" w:lineRule="auto"/>
              <w:jc w:val="left"/>
              <w:rPr>
                <w:rFonts w:ascii="宋体" w:hAnsi="宋体" w:cs="宋体"/>
                <w:bCs/>
                <w:color w:val="auto"/>
                <w:kern w:val="0"/>
                <w:sz w:val="21"/>
                <w:szCs w:val="21"/>
              </w:rPr>
            </w:pPr>
            <w:r>
              <w:rPr>
                <w:rFonts w:ascii="宋体" w:hAnsi="宋体" w:cs="宋体"/>
                <w:bCs/>
                <w:color w:val="auto"/>
                <w:kern w:val="0"/>
                <w:sz w:val="21"/>
                <w:szCs w:val="21"/>
              </w:rPr>
              <w:t>利用偏心旋转使试管等容器中的液体产生涡流，使溶液充分混合</w:t>
            </w:r>
            <w:r>
              <w:rPr>
                <w:rFonts w:hint="eastAsia" w:ascii="宋体" w:hAnsi="宋体" w:cs="宋体"/>
                <w:bCs/>
                <w:color w:val="auto"/>
                <w:kern w:val="0"/>
                <w:sz w:val="21"/>
                <w:szCs w:val="21"/>
              </w:rPr>
              <w:t>。便于携带运输，可在多种场合使用。</w:t>
            </w:r>
          </w:p>
        </w:tc>
        <w:tc>
          <w:tcPr>
            <w:tcW w:w="80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65"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29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809"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06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295" w:type="dxa"/>
            <w:noWrap w:val="0"/>
            <w:vAlign w:val="center"/>
          </w:tcPr>
          <w:p>
            <w:pPr>
              <w:widowControl/>
              <w:spacing w:line="240" w:lineRule="auto"/>
              <w:rPr>
                <w:rFonts w:ascii="宋体" w:hAnsi="宋体" w:cs="宋体"/>
                <w:bCs/>
                <w:color w:val="auto"/>
                <w:kern w:val="0"/>
                <w:sz w:val="21"/>
                <w:szCs w:val="21"/>
              </w:rPr>
            </w:pPr>
          </w:p>
        </w:tc>
        <w:tc>
          <w:tcPr>
            <w:tcW w:w="80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06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295" w:type="dxa"/>
            <w:noWrap w:val="0"/>
            <w:vAlign w:val="center"/>
          </w:tcPr>
          <w:p>
            <w:pPr>
              <w:widowControl/>
              <w:spacing w:line="240" w:lineRule="auto"/>
              <w:jc w:val="center"/>
              <w:rPr>
                <w:rFonts w:ascii="宋体" w:hAnsi="宋体" w:cs="宋体"/>
                <w:color w:val="auto"/>
                <w:kern w:val="0"/>
                <w:sz w:val="21"/>
                <w:szCs w:val="21"/>
              </w:rPr>
            </w:pPr>
          </w:p>
        </w:tc>
        <w:tc>
          <w:tcPr>
            <w:tcW w:w="80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06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29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转速范围：200~3000rpm</w:t>
            </w:r>
          </w:p>
        </w:tc>
        <w:tc>
          <w:tcPr>
            <w:tcW w:w="80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29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外形尺寸≤160x210x110mm</w:t>
            </w:r>
          </w:p>
        </w:tc>
        <w:tc>
          <w:tcPr>
            <w:tcW w:w="809"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29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振荡幅度支持φ 4.5mm(水平360°)</w:t>
            </w:r>
          </w:p>
        </w:tc>
        <w:tc>
          <w:tcPr>
            <w:tcW w:w="809"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529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可面板刻度显示速度</w:t>
            </w:r>
          </w:p>
        </w:tc>
        <w:tc>
          <w:tcPr>
            <w:tcW w:w="80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529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操作模式支持：点触、定时振动</w:t>
            </w:r>
          </w:p>
        </w:tc>
        <w:tc>
          <w:tcPr>
            <w:tcW w:w="80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29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定时范围支持： 0~999min</w:t>
            </w:r>
          </w:p>
        </w:tc>
        <w:tc>
          <w:tcPr>
            <w:tcW w:w="80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29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29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29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29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29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29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29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29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0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06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529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0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06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29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0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529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0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06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529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0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29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0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29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0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10.</w:t>
      </w:r>
      <w:r>
        <w:rPr>
          <w:rFonts w:hint="eastAsia" w:ascii="方正小标宋简体" w:hAnsi="宋体" w:eastAsia="方正小标宋简体" w:cs="宋体"/>
          <w:bCs/>
          <w:color w:val="auto"/>
          <w:kern w:val="0"/>
          <w:sz w:val="44"/>
          <w:szCs w:val="44"/>
        </w:rPr>
        <w:t>掌上离心机</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44"/>
        <w:gridCol w:w="515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7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52" w:type="dxa"/>
            <w:noWrap w:val="0"/>
            <w:vAlign w:val="center"/>
          </w:tcPr>
          <w:p>
            <w:pPr>
              <w:widowControl/>
              <w:spacing w:line="240" w:lineRule="auto"/>
              <w:jc w:val="center"/>
              <w:rPr>
                <w:rFonts w:ascii="宋体" w:hAnsi="宋体" w:cs="宋体"/>
                <w:b/>
                <w:bCs/>
                <w:color w:val="auto"/>
                <w:kern w:val="0"/>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52" w:type="dxa"/>
            <w:noWrap w:val="0"/>
            <w:vAlign w:val="center"/>
          </w:tcPr>
          <w:p>
            <w:pPr>
              <w:widowControl/>
              <w:spacing w:line="240" w:lineRule="auto"/>
              <w:jc w:val="left"/>
              <w:rPr>
                <w:rFonts w:ascii="宋体" w:hAnsi="宋体" w:cs="宋体"/>
                <w:bCs/>
                <w:color w:val="auto"/>
                <w:kern w:val="0"/>
                <w:sz w:val="21"/>
                <w:szCs w:val="21"/>
              </w:rPr>
            </w:pPr>
            <w:r>
              <w:rPr>
                <w:rFonts w:ascii="宋体" w:hAnsi="宋体" w:cs="宋体"/>
                <w:bCs/>
                <w:color w:val="auto"/>
                <w:kern w:val="0"/>
                <w:sz w:val="21"/>
                <w:szCs w:val="21"/>
              </w:rPr>
              <w:t>用于快速离心，微量过滤等场合，适合分子生物学实验室，PCR样品前期处理等</w:t>
            </w:r>
            <w:r>
              <w:rPr>
                <w:rFonts w:hint="eastAsia" w:ascii="宋体" w:hAnsi="宋体" w:cs="宋体"/>
                <w:bCs/>
                <w:color w:val="auto"/>
                <w:kern w:val="0"/>
                <w:sz w:val="21"/>
                <w:szCs w:val="21"/>
              </w:rPr>
              <w:t>。便于携带运输，可在多种场合使用。</w:t>
            </w: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52"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873"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52" w:type="dxa"/>
            <w:noWrap w:val="0"/>
            <w:vAlign w:val="center"/>
          </w:tcPr>
          <w:p>
            <w:pPr>
              <w:widowControl/>
              <w:spacing w:line="240" w:lineRule="auto"/>
              <w:rPr>
                <w:rFonts w:ascii="宋体" w:hAnsi="宋体" w:cs="宋体"/>
                <w:bCs/>
                <w:color w:val="auto"/>
                <w:kern w:val="0"/>
                <w:sz w:val="21"/>
                <w:szCs w:val="21"/>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52" w:type="dxa"/>
            <w:noWrap w:val="0"/>
            <w:vAlign w:val="center"/>
          </w:tcPr>
          <w:p>
            <w:pPr>
              <w:widowControl/>
              <w:spacing w:line="240" w:lineRule="auto"/>
              <w:jc w:val="center"/>
              <w:rPr>
                <w:rFonts w:ascii="宋体" w:hAnsi="宋体" w:cs="宋体"/>
                <w:color w:val="auto"/>
                <w:kern w:val="0"/>
                <w:sz w:val="21"/>
                <w:szCs w:val="21"/>
              </w:rPr>
            </w:pP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152"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支持三合一转子，适用于不同体积离心管，无需更换转子。</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152"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外形尺寸≤190×160×160 mm</w:t>
            </w:r>
          </w:p>
        </w:tc>
        <w:tc>
          <w:tcPr>
            <w:tcW w:w="873"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152"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rPr>
              <w:t>马达空载转速≥8000rpm</w:t>
            </w:r>
          </w:p>
        </w:tc>
        <w:tc>
          <w:tcPr>
            <w:tcW w:w="873"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5152"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color w:val="auto"/>
              </w:rPr>
              <w:t>电压范围：100-240V</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152"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152"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152"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1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51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1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5152"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7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1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51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7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p>
        </w:tc>
        <w:tc>
          <w:tcPr>
            <w:tcW w:w="2144" w:type="dxa"/>
            <w:noWrap w:val="0"/>
            <w:vAlign w:val="center"/>
          </w:tcPr>
          <w:p>
            <w:pPr>
              <w:widowControl/>
              <w:spacing w:line="240" w:lineRule="auto"/>
              <w:jc w:val="center"/>
              <w:rPr>
                <w:rFonts w:ascii="宋体" w:hAnsi="宋体" w:cs="宋体"/>
                <w:color w:val="auto"/>
                <w:kern w:val="0"/>
              </w:rPr>
            </w:pPr>
          </w:p>
        </w:tc>
        <w:tc>
          <w:tcPr>
            <w:tcW w:w="5152" w:type="dxa"/>
            <w:noWrap w:val="0"/>
            <w:vAlign w:val="center"/>
          </w:tcPr>
          <w:p>
            <w:pPr>
              <w:widowControl/>
              <w:spacing w:line="240" w:lineRule="auto"/>
              <w:jc w:val="center"/>
              <w:rPr>
                <w:rFonts w:ascii="宋体" w:hAnsi="宋体" w:cs="宋体"/>
                <w:color w:val="auto"/>
                <w:kern w:val="0"/>
              </w:rPr>
            </w:pPr>
          </w:p>
        </w:tc>
        <w:tc>
          <w:tcPr>
            <w:tcW w:w="873" w:type="dxa"/>
            <w:noWrap w:val="0"/>
            <w:vAlign w:val="center"/>
          </w:tcPr>
          <w:p>
            <w:pPr>
              <w:widowControl/>
              <w:spacing w:line="240" w:lineRule="auto"/>
              <w:jc w:val="center"/>
              <w:rPr>
                <w:rFonts w:ascii="宋体" w:hAnsi="宋体" w:cs="宋体"/>
                <w:color w:val="auto"/>
                <w:kern w:val="0"/>
              </w:rPr>
            </w:pP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11.</w:t>
      </w:r>
      <w:r>
        <w:rPr>
          <w:rFonts w:hint="eastAsia" w:ascii="方正小标宋简体" w:hAnsi="宋体" w:eastAsia="方正小标宋简体" w:cs="宋体"/>
          <w:bCs/>
          <w:color w:val="auto"/>
          <w:kern w:val="0"/>
          <w:sz w:val="44"/>
          <w:szCs w:val="44"/>
        </w:rPr>
        <w:t>冰箱（4℃/-20℃）</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61"/>
        <w:gridCol w:w="442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6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42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428"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42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用于冷藏药品、疫苗、试剂等，冷冻冰排、储存血浆、试剂及各种需要冷冻储存的物品。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6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428"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6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428"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6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428"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双压缩机双系统，独立控制上下冷藏室、冷冻室。</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★参数2</w:t>
            </w:r>
          </w:p>
        </w:tc>
        <w:tc>
          <w:tcPr>
            <w:tcW w:w="4428" w:type="dxa"/>
            <w:noWrap w:val="0"/>
            <w:vAlign w:val="center"/>
          </w:tcPr>
          <w:p>
            <w:pPr>
              <w:spacing w:line="240" w:lineRule="auto"/>
              <w:rPr>
                <w:rFonts w:hint="eastAsia"/>
                <w:color w:val="auto"/>
                <w:sz w:val="21"/>
                <w:szCs w:val="21"/>
              </w:rPr>
            </w:pPr>
            <w:r>
              <w:rPr>
                <w:rFonts w:hint="eastAsia"/>
                <w:color w:val="auto"/>
                <w:sz w:val="21"/>
                <w:szCs w:val="21"/>
              </w:rPr>
              <w:t>有效容积：冷藏：≥180L、冷冻：≥110L</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428" w:type="dxa"/>
            <w:noWrap w:val="0"/>
            <w:vAlign w:val="center"/>
          </w:tcPr>
          <w:p>
            <w:pPr>
              <w:spacing w:line="240" w:lineRule="auto"/>
              <w:rPr>
                <w:rFonts w:hint="eastAsia"/>
                <w:color w:val="auto"/>
                <w:sz w:val="21"/>
                <w:szCs w:val="21"/>
              </w:rPr>
            </w:pPr>
            <w:r>
              <w:rPr>
                <w:rFonts w:hint="eastAsia"/>
                <w:color w:val="auto"/>
                <w:sz w:val="21"/>
                <w:szCs w:val="21"/>
              </w:rPr>
              <w:t>微电脑温度控制系统，冷藏温度2~8℃、冷冻温度-10~-26℃可调。</w:t>
            </w:r>
          </w:p>
        </w:tc>
        <w:tc>
          <w:tcPr>
            <w:tcW w:w="1380" w:type="dxa"/>
            <w:noWrap w:val="0"/>
            <w:vAlign w:val="center"/>
          </w:tcPr>
          <w:p>
            <w:pPr>
              <w:widowControl/>
              <w:spacing w:line="240" w:lineRule="auto"/>
              <w:jc w:val="left"/>
              <w:rPr>
                <w:color w:val="auto"/>
                <w:sz w:val="72"/>
                <w:szCs w:val="7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箱体底部配四个脚轮及支撑脚，带有锁定装置，便于移动和安放。</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冷藏温度和冷冻温度同时显示，冷藏室、冷冻室可分别单独关闭。</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声光报警：具有高低温报警、传感器故障报警等多种报警功能。</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36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442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428"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3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42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428"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12.</w:t>
      </w:r>
      <w:r>
        <w:rPr>
          <w:rFonts w:hint="eastAsia" w:ascii="方正小标宋简体" w:hAnsi="宋体" w:eastAsia="方正小标宋简体" w:cs="宋体"/>
          <w:bCs/>
          <w:color w:val="auto"/>
          <w:kern w:val="0"/>
          <w:sz w:val="44"/>
          <w:szCs w:val="44"/>
        </w:rPr>
        <w:t>自动化建库仪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65"/>
        <w:gridCol w:w="5329"/>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6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3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77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6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329" w:type="dxa"/>
            <w:noWrap w:val="0"/>
            <w:vAlign w:val="center"/>
          </w:tcPr>
          <w:p>
            <w:pPr>
              <w:widowControl/>
              <w:spacing w:line="240" w:lineRule="auto"/>
              <w:jc w:val="center"/>
              <w:rPr>
                <w:rFonts w:ascii="宋体" w:hAnsi="宋体" w:cs="宋体"/>
                <w:b/>
                <w:bCs/>
                <w:color w:val="auto"/>
                <w:kern w:val="0"/>
              </w:rPr>
            </w:pPr>
          </w:p>
        </w:tc>
        <w:tc>
          <w:tcPr>
            <w:tcW w:w="775"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6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329"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包括但不限于完成酶切打断、纯化、末端修复、加A尾、接头连接及片段筛选、PCR体系构建、PCR产物纯化、定量体系构建、浓度均一化及Pooling等自动化操作</w:t>
            </w:r>
          </w:p>
        </w:tc>
        <w:tc>
          <w:tcPr>
            <w:tcW w:w="775"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65"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329"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病毒、细菌和微生物等生物样本</w:t>
            </w:r>
          </w:p>
        </w:tc>
        <w:tc>
          <w:tcPr>
            <w:tcW w:w="775"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06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329"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试剂和耗材全开放，适应各种样本建库需求，并最大化减小后续试剂和耗材费用</w:t>
            </w:r>
          </w:p>
        </w:tc>
        <w:tc>
          <w:tcPr>
            <w:tcW w:w="775"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06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329" w:type="dxa"/>
            <w:noWrap w:val="0"/>
            <w:vAlign w:val="center"/>
          </w:tcPr>
          <w:p>
            <w:pPr>
              <w:widowControl/>
              <w:spacing w:line="240" w:lineRule="auto"/>
              <w:jc w:val="center"/>
              <w:rPr>
                <w:rFonts w:ascii="宋体" w:hAnsi="宋体" w:cs="宋体"/>
                <w:color w:val="auto"/>
                <w:kern w:val="0"/>
                <w:sz w:val="21"/>
                <w:szCs w:val="21"/>
              </w:rPr>
            </w:pPr>
          </w:p>
        </w:tc>
        <w:tc>
          <w:tcPr>
            <w:tcW w:w="775"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06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配置200ul量程的八道和单道移液工具，不同通道及量程的加样器在运行过程中自动切换使用，无需人工替换</w:t>
            </w:r>
          </w:p>
        </w:tc>
        <w:tc>
          <w:tcPr>
            <w:tcW w:w="77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329" w:type="dxa"/>
            <w:noWrap w:val="0"/>
            <w:vAlign w:val="center"/>
          </w:tcPr>
          <w:p>
            <w:pPr>
              <w:spacing w:line="240" w:lineRule="auto"/>
              <w:rPr>
                <w:rFonts w:hint="eastAsia"/>
                <w:color w:val="auto"/>
                <w:sz w:val="21"/>
                <w:szCs w:val="21"/>
              </w:rPr>
            </w:pPr>
            <w:r>
              <w:rPr>
                <w:rFonts w:hint="eastAsia" w:ascii="宋体" w:hAnsi="宋体" w:cs="宋体"/>
                <w:color w:val="auto"/>
              </w:rPr>
              <w:t>包含至少12个板位，采用锁扣式吸头盒载架，固定性好</w:t>
            </w:r>
          </w:p>
        </w:tc>
        <w:tc>
          <w:tcPr>
            <w:tcW w:w="77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5329" w:type="dxa"/>
            <w:noWrap w:val="0"/>
            <w:vAlign w:val="center"/>
          </w:tcPr>
          <w:p>
            <w:pPr>
              <w:spacing w:line="240" w:lineRule="auto"/>
              <w:rPr>
                <w:rFonts w:hint="eastAsia"/>
                <w:color w:val="auto"/>
                <w:sz w:val="21"/>
                <w:szCs w:val="21"/>
              </w:rPr>
            </w:pPr>
            <w:r>
              <w:rPr>
                <w:rFonts w:hint="eastAsia" w:ascii="宋体" w:hAnsi="宋体" w:cs="宋体"/>
                <w:color w:val="auto"/>
              </w:rPr>
              <w:t>工作站配置自动光学定位校准工具，双光束垂直交叉点自动识别定位。定位操作简单，在工作站搬移后可由用户自行对台面上的模块及板位进行精确定位</w:t>
            </w:r>
          </w:p>
        </w:tc>
        <w:tc>
          <w:tcPr>
            <w:tcW w:w="775"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吸头可通过回放设置在使用后放回吸头盒中，重复利用，吸头盒为深孔板结构，每个吸头都有独立的存放孔，不会发生互相碰撞接触或气溶胶交叉污染</w:t>
            </w:r>
          </w:p>
        </w:tc>
        <w:tc>
          <w:tcPr>
            <w:tcW w:w="77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329" w:type="dxa"/>
            <w:noWrap w:val="0"/>
            <w:vAlign w:val="center"/>
          </w:tcPr>
          <w:p>
            <w:pPr>
              <w:spacing w:line="240" w:lineRule="auto"/>
              <w:rPr>
                <w:rFonts w:hint="eastAsia"/>
                <w:color w:val="auto"/>
                <w:sz w:val="21"/>
                <w:szCs w:val="21"/>
              </w:rPr>
            </w:pPr>
            <w:r>
              <w:rPr>
                <w:rFonts w:hint="eastAsia" w:ascii="宋体" w:hAnsi="宋体" w:cs="宋体"/>
                <w:color w:val="auto"/>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77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配置有移板机械手，可抓取台面上任意位置的实验器具。三点式夹板，可自动感应夹板状态，根据板的重量调节夹板力度，用于样品板在板位、磁力架、振荡模块等之间的转移</w:t>
            </w:r>
          </w:p>
        </w:tc>
        <w:tc>
          <w:tcPr>
            <w:tcW w:w="775"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329" w:type="dxa"/>
            <w:noWrap w:val="0"/>
            <w:vAlign w:val="center"/>
          </w:tcPr>
          <w:p>
            <w:pPr>
              <w:rPr>
                <w:rFonts w:ascii="宋体" w:hAnsi="宋体"/>
                <w:color w:val="auto"/>
                <w:sz w:val="21"/>
                <w:szCs w:val="21"/>
              </w:rPr>
            </w:pPr>
            <w:r>
              <w:rPr>
                <w:rFonts w:hint="eastAsia" w:ascii="宋体" w:hAnsi="宋体" w:cs="宋体"/>
                <w:color w:val="auto"/>
              </w:rPr>
              <w:t>加样器可通过声波探测液面高度，并能实时跟踪液位，可进行接触式和非接触式加样，无需电容感应的专用吸头</w:t>
            </w:r>
          </w:p>
        </w:tc>
        <w:tc>
          <w:tcPr>
            <w:tcW w:w="775"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加样器的移液行为和过程可精确设置和调节，可实现孔内的吸头水平移动、在不同角度靠壁、空气隔层等多种移液方法</w:t>
            </w:r>
          </w:p>
        </w:tc>
        <w:tc>
          <w:tcPr>
            <w:tcW w:w="7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控制软件具有强大的适应性，图标式界面直观明了，采用拖放方法建立和设定各种程序，简便快捷</w:t>
            </w:r>
          </w:p>
        </w:tc>
        <w:tc>
          <w:tcPr>
            <w:tcW w:w="775"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配置即用式体系构建程序，无需编辑，操作简单灵活</w:t>
            </w:r>
          </w:p>
        </w:tc>
        <w:tc>
          <w:tcPr>
            <w:tcW w:w="775"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参数11</w:t>
            </w:r>
          </w:p>
        </w:tc>
        <w:tc>
          <w:tcPr>
            <w:tcW w:w="5329" w:type="dxa"/>
            <w:noWrap w:val="0"/>
            <w:vAlign w:val="center"/>
          </w:tcPr>
          <w:p>
            <w:pPr>
              <w:rPr>
                <w:rFonts w:hint="eastAsia" w:ascii="宋体" w:hAnsi="宋体"/>
                <w:color w:val="auto"/>
                <w:sz w:val="21"/>
                <w:szCs w:val="21"/>
              </w:rPr>
            </w:pPr>
            <w:r>
              <w:rPr>
                <w:rFonts w:hint="eastAsia" w:ascii="宋体" w:hAnsi="宋体" w:cs="宋体"/>
                <w:color w:val="auto"/>
              </w:rPr>
              <w:t>具有声音提醒功能</w:t>
            </w:r>
          </w:p>
        </w:tc>
        <w:tc>
          <w:tcPr>
            <w:tcW w:w="7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2.12</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参数12</w:t>
            </w:r>
          </w:p>
        </w:tc>
        <w:tc>
          <w:tcPr>
            <w:tcW w:w="5329" w:type="dxa"/>
            <w:noWrap w:val="0"/>
            <w:vAlign w:val="center"/>
          </w:tcPr>
          <w:p>
            <w:pPr>
              <w:rPr>
                <w:rFonts w:hint="eastAsia" w:ascii="宋体" w:hAnsi="宋体" w:cs="Arial"/>
                <w:color w:val="auto"/>
                <w:sz w:val="21"/>
                <w:szCs w:val="21"/>
              </w:rPr>
            </w:pPr>
            <w:r>
              <w:rPr>
                <w:rFonts w:hint="eastAsia" w:ascii="宋体" w:hAnsi="宋体" w:cs="宋体"/>
                <w:color w:val="auto"/>
              </w:rPr>
              <w:t>软件可设置不同级别的操作权限，具备电子档案及签名管理系统，符合21CFR Part II标准</w:t>
            </w:r>
          </w:p>
        </w:tc>
        <w:tc>
          <w:tcPr>
            <w:tcW w:w="7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2.13</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w:t>
            </w:r>
            <w:r>
              <w:rPr>
                <w:rFonts w:ascii="宋体" w:hAnsi="宋体" w:cs="宋体"/>
                <w:color w:val="auto"/>
                <w:kern w:val="0"/>
                <w:sz w:val="21"/>
                <w:szCs w:val="21"/>
              </w:rPr>
              <w:t>3</w:t>
            </w:r>
          </w:p>
        </w:tc>
        <w:tc>
          <w:tcPr>
            <w:tcW w:w="5329" w:type="dxa"/>
            <w:noWrap w:val="0"/>
            <w:vAlign w:val="center"/>
          </w:tcPr>
          <w:p>
            <w:pPr>
              <w:rPr>
                <w:rFonts w:hint="eastAsia"/>
                <w:color w:val="auto"/>
                <w:sz w:val="21"/>
                <w:szCs w:val="21"/>
              </w:rPr>
            </w:pPr>
            <w:r>
              <w:rPr>
                <w:rFonts w:hint="eastAsia" w:ascii="宋体" w:hAnsi="宋体" w:cs="宋体"/>
                <w:color w:val="auto"/>
              </w:rPr>
              <w:t>具备可扩展性，可根据需要整合各种品牌的第三方设备，实现自动化流水线作业。如PCR热循环仪、多功能酶标仪、培养箱、孵育仪、储板仪及轨道式工业机器人</w:t>
            </w:r>
          </w:p>
        </w:tc>
        <w:tc>
          <w:tcPr>
            <w:tcW w:w="7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06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3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06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3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rPr>
              <w:t>主机1台</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329" w:type="dxa"/>
            <w:noWrap w:val="0"/>
            <w:vAlign w:val="center"/>
          </w:tcPr>
          <w:p>
            <w:pPr>
              <w:spacing w:line="240" w:lineRule="auto"/>
              <w:jc w:val="center"/>
              <w:rPr>
                <w:rFonts w:ascii="宋体" w:hAnsi="宋体" w:cs="宋体"/>
                <w:color w:val="auto"/>
              </w:rPr>
            </w:pPr>
            <w:r>
              <w:rPr>
                <w:rFonts w:hint="eastAsia" w:ascii="宋体" w:hAnsi="宋体" w:cs="宋体"/>
                <w:color w:val="auto"/>
              </w:rPr>
              <w:t>200ul八道加样器一把</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3.3</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5329"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200ul单道加样器一把</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3.4</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5329"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全自动光学校准工具1套</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3.5</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配置5</w:t>
            </w:r>
          </w:p>
        </w:tc>
        <w:tc>
          <w:tcPr>
            <w:tcW w:w="5329"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抓板机械手1个</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3.6</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配置6</w:t>
            </w:r>
          </w:p>
        </w:tc>
        <w:tc>
          <w:tcPr>
            <w:tcW w:w="5329"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涡旋振荡模块1个</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3.7</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配置7</w:t>
            </w:r>
          </w:p>
        </w:tc>
        <w:tc>
          <w:tcPr>
            <w:tcW w:w="5329"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磁力架1个</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3.8</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配置8</w:t>
            </w:r>
          </w:p>
        </w:tc>
        <w:tc>
          <w:tcPr>
            <w:tcW w:w="5329" w:type="dxa"/>
            <w:noWrap w:val="0"/>
            <w:vAlign w:val="center"/>
          </w:tcPr>
          <w:p>
            <w:pPr>
              <w:spacing w:line="240" w:lineRule="auto"/>
              <w:jc w:val="center"/>
              <w:rPr>
                <w:rFonts w:hint="eastAsia" w:ascii="宋体" w:hAnsi="宋体" w:cs="宋体"/>
                <w:color w:val="auto"/>
              </w:rPr>
            </w:pPr>
            <w:r>
              <w:rPr>
                <w:rFonts w:ascii="宋体" w:hAnsi="宋体" w:cs="宋体"/>
                <w:color w:val="auto"/>
              </w:rPr>
              <w:t>HEPA</w:t>
            </w:r>
            <w:r>
              <w:rPr>
                <w:rFonts w:hint="eastAsia" w:ascii="宋体" w:hAnsi="宋体" w:cs="宋体"/>
                <w:color w:val="auto"/>
              </w:rPr>
              <w:t>过滤罩1个</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ascii="宋体" w:hAnsi="宋体" w:cs="宋体"/>
                <w:color w:val="auto"/>
                <w:kern w:val="0"/>
              </w:rPr>
              <w:t>3.9</w:t>
            </w:r>
          </w:p>
        </w:tc>
        <w:tc>
          <w:tcPr>
            <w:tcW w:w="206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配置9</w:t>
            </w:r>
          </w:p>
        </w:tc>
        <w:tc>
          <w:tcPr>
            <w:tcW w:w="5329"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控制软件1套</w:t>
            </w:r>
          </w:p>
        </w:tc>
        <w:tc>
          <w:tcPr>
            <w:tcW w:w="775"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06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3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77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3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06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3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13.</w:t>
      </w:r>
      <w:r>
        <w:rPr>
          <w:rFonts w:hint="eastAsia" w:ascii="方正小标宋简体" w:hAnsi="宋体" w:eastAsia="方正小标宋简体" w:cs="宋体"/>
          <w:bCs/>
          <w:color w:val="auto"/>
          <w:kern w:val="0"/>
          <w:sz w:val="44"/>
          <w:szCs w:val="44"/>
        </w:rPr>
        <w:t>荧光定量仪</w:t>
      </w:r>
      <w:r>
        <w:rPr>
          <w:rFonts w:hint="eastAsia" w:ascii="方正小标宋简体" w:hAnsi="宋体" w:eastAsia="方正小标宋简体" w:cs="宋体"/>
          <w:bCs/>
          <w:color w:val="auto"/>
          <w:kern w:val="0"/>
          <w:sz w:val="44"/>
          <w:szCs w:val="44"/>
          <w:lang w:eastAsia="zh-CN"/>
        </w:rPr>
        <w:t>技术要求</w:t>
      </w:r>
    </w:p>
    <w:tbl>
      <w:tblPr>
        <w:tblStyle w:val="20"/>
        <w:tblW w:w="9101" w:type="dxa"/>
        <w:tblInd w:w="-242" w:type="dxa"/>
        <w:tblLayout w:type="fixed"/>
        <w:tblCellMar>
          <w:top w:w="0" w:type="dxa"/>
          <w:left w:w="108" w:type="dxa"/>
          <w:bottom w:w="0" w:type="dxa"/>
          <w:right w:w="108" w:type="dxa"/>
        </w:tblCellMar>
      </w:tblPr>
      <w:tblGrid>
        <w:gridCol w:w="750"/>
        <w:gridCol w:w="2091"/>
        <w:gridCol w:w="5446"/>
        <w:gridCol w:w="814"/>
      </w:tblGrid>
      <w:tr>
        <w:tblPrEx>
          <w:tblCellMar>
            <w:top w:w="0" w:type="dxa"/>
            <w:left w:w="108" w:type="dxa"/>
            <w:bottom w:w="0" w:type="dxa"/>
            <w:right w:w="108" w:type="dxa"/>
          </w:tblCellMar>
        </w:tblPrEx>
        <w:trPr>
          <w:trHeight w:val="540" w:hRule="atLeast"/>
        </w:trPr>
        <w:tc>
          <w:tcPr>
            <w:tcW w:w="750"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序号</w:t>
            </w:r>
          </w:p>
        </w:tc>
        <w:tc>
          <w:tcPr>
            <w:tcW w:w="2091"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技术和性能参数名称</w:t>
            </w:r>
          </w:p>
        </w:tc>
        <w:tc>
          <w:tcPr>
            <w:tcW w:w="5446"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技术参数和性能要求</w:t>
            </w:r>
          </w:p>
        </w:tc>
        <w:tc>
          <w:tcPr>
            <w:tcW w:w="814"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备注</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p>
        </w:tc>
      </w:tr>
      <w:tr>
        <w:tblPrEx>
          <w:tblCellMar>
            <w:top w:w="0" w:type="dxa"/>
            <w:left w:w="108" w:type="dxa"/>
            <w:bottom w:w="0" w:type="dxa"/>
            <w:right w:w="108" w:type="dxa"/>
          </w:tblCellMar>
        </w:tblPrEx>
        <w:trPr>
          <w:trHeight w:val="419"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设备用途</w:t>
            </w:r>
          </w:p>
        </w:tc>
        <w:tc>
          <w:tcPr>
            <w:tcW w:w="5446"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kern w:val="0"/>
                <w:sz w:val="21"/>
                <w:szCs w:val="21"/>
              </w:rPr>
            </w:pPr>
            <w:r>
              <w:rPr>
                <w:rFonts w:hint="eastAsia" w:ascii="宋体" w:hAnsi="宋体" w:cs="宋体"/>
                <w:bCs/>
                <w:kern w:val="0"/>
                <w:sz w:val="21"/>
                <w:szCs w:val="21"/>
              </w:rPr>
              <w:t>配套测序仪</w:t>
            </w:r>
            <w:r>
              <w:rPr>
                <w:rFonts w:ascii="宋体" w:hAnsi="宋体" w:cs="宋体"/>
                <w:bCs/>
                <w:kern w:val="0"/>
                <w:sz w:val="21"/>
                <w:szCs w:val="21"/>
              </w:rPr>
              <w:t>快速准确地定量DNA,RNA和蛋白</w:t>
            </w:r>
            <w:r>
              <w:rPr>
                <w:rFonts w:hint="eastAsia" w:ascii="宋体" w:hAnsi="宋体" w:cs="宋体"/>
                <w:bCs/>
                <w:kern w:val="0"/>
                <w:sz w:val="21"/>
                <w:szCs w:val="21"/>
              </w:rPr>
              <w:t>。</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30" w:hRule="atLeast"/>
        </w:trPr>
        <w:tc>
          <w:tcPr>
            <w:tcW w:w="750"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2091"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实验对象</w:t>
            </w:r>
          </w:p>
        </w:tc>
        <w:tc>
          <w:tcPr>
            <w:tcW w:w="5446"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rPr>
                <w:rFonts w:ascii="宋体" w:hAnsi="宋体" w:cs="宋体"/>
                <w:bCs/>
                <w:kern w:val="0"/>
                <w:sz w:val="21"/>
                <w:szCs w:val="21"/>
              </w:rPr>
            </w:pPr>
            <w:r>
              <w:rPr>
                <w:rFonts w:hint="eastAsia" w:ascii="宋体" w:hAnsi="宋体" w:cs="宋体"/>
                <w:bCs/>
                <w:kern w:val="0"/>
                <w:sz w:val="21"/>
                <w:szCs w:val="21"/>
              </w:rPr>
              <w:t>生物样品</w:t>
            </w:r>
          </w:p>
        </w:tc>
        <w:tc>
          <w:tcPr>
            <w:tcW w:w="814"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kern w:val="0"/>
                <w:sz w:val="21"/>
                <w:szCs w:val="21"/>
              </w:rPr>
            </w:pPr>
            <w:r>
              <w:rPr>
                <w:rFonts w:hint="eastAsia" w:ascii="宋体" w:hAnsi="宋体" w:cs="宋体"/>
                <w:bCs/>
                <w:kern w:val="0"/>
                <w:sz w:val="21"/>
                <w:szCs w:val="21"/>
              </w:rPr>
              <w:t>1.3</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kern w:val="0"/>
                <w:sz w:val="21"/>
                <w:szCs w:val="21"/>
              </w:rPr>
            </w:pPr>
            <w:r>
              <w:rPr>
                <w:rFonts w:hint="eastAsia" w:ascii="宋体" w:hAnsi="宋体" w:cs="宋体"/>
                <w:bCs/>
                <w:kern w:val="0"/>
                <w:sz w:val="21"/>
                <w:szCs w:val="21"/>
              </w:rPr>
              <w:t>特殊功能需求</w:t>
            </w:r>
          </w:p>
        </w:tc>
        <w:tc>
          <w:tcPr>
            <w:tcW w:w="5446" w:type="dxa"/>
            <w:tcBorders>
              <w:top w:val="nil"/>
              <w:left w:val="nil"/>
              <w:bottom w:val="single" w:color="auto" w:sz="4" w:space="0"/>
              <w:right w:val="single" w:color="auto" w:sz="4" w:space="0"/>
            </w:tcBorders>
            <w:noWrap w:val="0"/>
            <w:vAlign w:val="center"/>
          </w:tcPr>
          <w:p>
            <w:pPr>
              <w:widowControl/>
              <w:spacing w:line="240" w:lineRule="auto"/>
              <w:rPr>
                <w:rFonts w:ascii="宋体" w:hAnsi="宋体" w:cs="宋体"/>
                <w:bCs/>
                <w:kern w:val="0"/>
                <w:sz w:val="21"/>
                <w:szCs w:val="21"/>
              </w:rPr>
            </w:pP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1085"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2.1</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参数1</w:t>
            </w:r>
          </w:p>
        </w:tc>
        <w:tc>
          <w:tcPr>
            <w:tcW w:w="5446"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kern w:val="0"/>
                <w:sz w:val="21"/>
                <w:szCs w:val="21"/>
              </w:rPr>
            </w:pPr>
            <w:r>
              <w:rPr>
                <w:rFonts w:hint="eastAsia" w:ascii="宋体" w:hAnsi="宋体" w:cs="宋体"/>
              </w:rPr>
              <w:t>支</w:t>
            </w:r>
            <w:r>
              <w:rPr>
                <w:rFonts w:hint="eastAsia" w:ascii="宋体" w:hAnsi="宋体" w:cs="宋体"/>
                <w:color w:val="000000"/>
              </w:rPr>
              <w:t>持RNA完整性检测：可在5min 内检测RNA 的完整性和质量。光源：蓝色LED( 最大可达460 nm)，红色LED ( 最大可达625nm)</w:t>
            </w:r>
          </w:p>
        </w:tc>
        <w:tc>
          <w:tcPr>
            <w:tcW w:w="814"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kern w:val="0"/>
                <w:sz w:val="21"/>
                <w:szCs w:val="21"/>
              </w:rPr>
            </w:pPr>
          </w:p>
        </w:tc>
      </w:tr>
      <w:tr>
        <w:tblPrEx>
          <w:tblCellMar>
            <w:top w:w="0" w:type="dxa"/>
            <w:left w:w="108" w:type="dxa"/>
            <w:bottom w:w="0" w:type="dxa"/>
            <w:right w:w="108" w:type="dxa"/>
          </w:tblCellMar>
        </w:tblPrEx>
        <w:trPr>
          <w:trHeight w:val="914"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2.2</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参数2</w:t>
            </w:r>
          </w:p>
        </w:tc>
        <w:tc>
          <w:tcPr>
            <w:tcW w:w="5446" w:type="dxa"/>
            <w:tcBorders>
              <w:top w:val="nil"/>
              <w:left w:val="nil"/>
              <w:bottom w:val="single" w:color="auto" w:sz="4" w:space="0"/>
              <w:right w:val="single" w:color="auto" w:sz="4" w:space="0"/>
            </w:tcBorders>
            <w:noWrap w:val="0"/>
            <w:vAlign w:val="center"/>
          </w:tcPr>
          <w:p>
            <w:pPr>
              <w:jc w:val="left"/>
              <w:rPr>
                <w:rFonts w:ascii="宋体" w:hAnsi="宋体" w:cs="宋体"/>
                <w:bCs/>
                <w:color w:val="000000"/>
                <w:kern w:val="0"/>
                <w:sz w:val="21"/>
                <w:szCs w:val="21"/>
              </w:rPr>
            </w:pPr>
            <w:r>
              <w:rPr>
                <w:rFonts w:hint="eastAsia" w:ascii="宋体" w:hAnsi="宋体" w:cs="宋体"/>
                <w:color w:val="000000"/>
              </w:rPr>
              <w:t>检测灵敏度：低至dsDNA 0.01ng/uL</w:t>
            </w:r>
          </w:p>
        </w:tc>
        <w:tc>
          <w:tcPr>
            <w:tcW w:w="814" w:type="dxa"/>
            <w:tcBorders>
              <w:top w:val="nil"/>
              <w:left w:val="nil"/>
              <w:bottom w:val="single" w:color="auto" w:sz="4" w:space="0"/>
              <w:right w:val="single" w:color="auto" w:sz="8" w:space="0"/>
            </w:tcBorders>
            <w:noWrap w:val="0"/>
            <w:vAlign w:val="center"/>
          </w:tcPr>
          <w:p>
            <w:pPr>
              <w:rPr>
                <w:rFonts w:ascii="宋体" w:hAnsi="宋体"/>
                <w:color w:val="000000"/>
                <w:sz w:val="21"/>
                <w:szCs w:val="21"/>
              </w:rPr>
            </w:pP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参数3</w:t>
            </w:r>
          </w:p>
        </w:tc>
        <w:tc>
          <w:tcPr>
            <w:tcW w:w="5446"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kern w:val="0"/>
                <w:sz w:val="21"/>
                <w:szCs w:val="21"/>
              </w:rPr>
            </w:pPr>
            <w:r>
              <w:rPr>
                <w:rFonts w:hint="eastAsia" w:ascii="宋体" w:hAnsi="宋体" w:cs="宋体"/>
              </w:rPr>
              <w:t>样品处理时间：5 秒内快速准确地定量DNA,RNA和蛋白</w:t>
            </w:r>
          </w:p>
        </w:tc>
        <w:tc>
          <w:tcPr>
            <w:tcW w:w="814" w:type="dxa"/>
            <w:tcBorders>
              <w:top w:val="nil"/>
              <w:left w:val="nil"/>
              <w:bottom w:val="single" w:color="auto" w:sz="4" w:space="0"/>
              <w:right w:val="single" w:color="auto" w:sz="8" w:space="0"/>
            </w:tcBorders>
            <w:noWrap w:val="0"/>
            <w:vAlign w:val="center"/>
          </w:tcPr>
          <w:p>
            <w:pPr>
              <w:widowControl/>
              <w:spacing w:line="240" w:lineRule="auto"/>
              <w:jc w:val="left"/>
              <w:rPr>
                <w:sz w:val="21"/>
                <w:szCs w:val="21"/>
              </w:rPr>
            </w:pP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2.4</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参数4</w:t>
            </w:r>
          </w:p>
        </w:tc>
        <w:tc>
          <w:tcPr>
            <w:tcW w:w="5446"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kern w:val="0"/>
                <w:sz w:val="21"/>
                <w:szCs w:val="21"/>
              </w:rPr>
            </w:pPr>
            <w:r>
              <w:rPr>
                <w:rFonts w:hint="eastAsia" w:ascii="宋体" w:hAnsi="宋体" w:cs="宋体"/>
              </w:rPr>
              <w:t>动态范围≥5 个数量级</w:t>
            </w:r>
          </w:p>
        </w:tc>
        <w:tc>
          <w:tcPr>
            <w:tcW w:w="814"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2.5</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参数5</w:t>
            </w:r>
          </w:p>
        </w:tc>
        <w:tc>
          <w:tcPr>
            <w:tcW w:w="5446"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kern w:val="0"/>
                <w:sz w:val="21"/>
                <w:szCs w:val="21"/>
              </w:rPr>
            </w:pPr>
            <w:r>
              <w:rPr>
                <w:rFonts w:hint="eastAsia" w:ascii="宋体" w:hAnsi="宋体" w:cs="宋体"/>
              </w:rPr>
              <w:t>检测范围：300-1000nm</w:t>
            </w:r>
          </w:p>
        </w:tc>
        <w:tc>
          <w:tcPr>
            <w:tcW w:w="814"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FF0000"/>
                <w:kern w:val="0"/>
                <w:sz w:val="21"/>
                <w:szCs w:val="21"/>
              </w:rPr>
            </w:pPr>
          </w:p>
        </w:tc>
      </w:tr>
      <w:tr>
        <w:tblPrEx>
          <w:tblCellMar>
            <w:top w:w="0" w:type="dxa"/>
            <w:left w:w="108" w:type="dxa"/>
            <w:bottom w:w="0" w:type="dxa"/>
            <w:right w:w="108" w:type="dxa"/>
          </w:tblCellMar>
        </w:tblPrEx>
        <w:trPr>
          <w:trHeight w:val="398"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2.6</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参数6</w:t>
            </w:r>
          </w:p>
        </w:tc>
        <w:tc>
          <w:tcPr>
            <w:tcW w:w="5446"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kern w:val="0"/>
                <w:sz w:val="21"/>
                <w:szCs w:val="21"/>
              </w:rPr>
            </w:pPr>
            <w:r>
              <w:rPr>
                <w:rFonts w:hint="eastAsia" w:ascii="宋体" w:hAnsi="宋体" w:cs="宋体"/>
              </w:rPr>
              <w:t>预热时间：≤35 秒</w:t>
            </w:r>
          </w:p>
        </w:tc>
        <w:tc>
          <w:tcPr>
            <w:tcW w:w="814"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b/>
                <w:kern w:val="0"/>
              </w:rPr>
              <w:t>3</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b/>
                <w:bCs/>
                <w:kern w:val="0"/>
                <w:sz w:val="21"/>
                <w:szCs w:val="21"/>
              </w:rPr>
              <w:t>配置需求</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000000"/>
                <w:sz w:val="21"/>
                <w:szCs w:val="21"/>
              </w:rPr>
            </w:pPr>
            <w:r>
              <w:rPr>
                <w:rFonts w:hint="eastAsia" w:ascii="宋体" w:hAnsi="宋体" w:cs="宋体"/>
                <w:kern w:val="0"/>
                <w:sz w:val="21"/>
                <w:szCs w:val="21"/>
              </w:rPr>
              <w:t>　</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346"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3.1</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配置1</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sz w:val="21"/>
                <w:szCs w:val="21"/>
              </w:rPr>
            </w:pPr>
            <w:r>
              <w:rPr>
                <w:rFonts w:ascii="宋体" w:hAnsi="宋体" w:cs="宋体"/>
                <w:kern w:val="0"/>
                <w:sz w:val="21"/>
                <w:szCs w:val="21"/>
              </w:rPr>
              <w:t>主机一台</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371"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b/>
                <w:bCs/>
                <w:kern w:val="0"/>
              </w:rPr>
              <w:t>4</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b/>
                <w:bCs/>
                <w:kern w:val="0"/>
              </w:rPr>
              <w:t>售后服务</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olor w:val="000000"/>
                <w:sz w:val="21"/>
                <w:szCs w:val="21"/>
              </w:rPr>
            </w:pPr>
            <w:r>
              <w:rPr>
                <w:rFonts w:hint="eastAsia" w:ascii="宋体" w:hAnsi="宋体" w:cs="宋体"/>
                <w:b/>
                <w:bCs/>
                <w:kern w:val="0"/>
              </w:rPr>
              <w:t>　</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b/>
                <w:bCs/>
                <w:kern w:val="0"/>
              </w:rPr>
              <w:t>　</w:t>
            </w:r>
          </w:p>
        </w:tc>
      </w:tr>
      <w:tr>
        <w:tblPrEx>
          <w:tblCellMar>
            <w:top w:w="0" w:type="dxa"/>
            <w:left w:w="108" w:type="dxa"/>
            <w:bottom w:w="0" w:type="dxa"/>
            <w:right w:w="108" w:type="dxa"/>
          </w:tblCellMar>
        </w:tblPrEx>
        <w:trPr>
          <w:trHeight w:val="364"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4.1</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保修年限</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000000"/>
                <w:sz w:val="21"/>
                <w:szCs w:val="21"/>
              </w:rPr>
            </w:pPr>
            <w:r>
              <w:rPr>
                <w:rFonts w:hint="eastAsia" w:ascii="宋体" w:hAnsi="宋体" w:cs="宋体"/>
                <w:kern w:val="0"/>
              </w:rPr>
              <w:t>海外安装,海外维保≥3年</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4.2</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出现故障响应时间</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000000"/>
                <w:sz w:val="21"/>
                <w:szCs w:val="21"/>
              </w:rPr>
            </w:pPr>
            <w:r>
              <w:rPr>
                <w:rFonts w:hint="eastAsia" w:ascii="宋体" w:hAnsi="宋体" w:cs="宋体"/>
                <w:color w:val="000000"/>
                <w:kern w:val="0"/>
                <w:lang w:bidi="ar"/>
              </w:rPr>
              <w:t>维修响应时间≤ 24小时</w:t>
            </w:r>
            <w:r>
              <w:rPr>
                <w:rFonts w:hint="eastAsia" w:ascii="宋体" w:hAnsi="宋体" w:cs="宋体"/>
                <w:color w:val="000000"/>
                <w:kern w:val="0"/>
                <w:lang w:bidi="ar"/>
              </w:rPr>
              <w:br w:type="textWrapping"/>
            </w:r>
            <w:r>
              <w:rPr>
                <w:rFonts w:hint="eastAsia" w:ascii="宋体" w:hAnsi="宋体" w:cs="宋体"/>
                <w:color w:val="000000"/>
                <w:kern w:val="0"/>
                <w:lang w:bidi="ar"/>
              </w:rPr>
              <w:t>维修修复时间≤45天</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4.3</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维修支持</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000000"/>
                <w:sz w:val="21"/>
                <w:szCs w:val="21"/>
              </w:rPr>
            </w:pPr>
            <w:r>
              <w:rPr>
                <w:rFonts w:hint="eastAsia" w:ascii="宋体" w:hAnsi="宋体" w:cs="宋体"/>
                <w:kern w:val="0"/>
              </w:rPr>
              <w:t>配件供应时间≥10年</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4.4</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耗材及零配件</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000000"/>
                <w:sz w:val="21"/>
                <w:szCs w:val="21"/>
              </w:rPr>
            </w:pPr>
            <w:r>
              <w:rPr>
                <w:rFonts w:hint="eastAsia" w:ascii="宋体" w:hAnsi="宋体" w:cs="宋体"/>
                <w:kern w:val="0"/>
              </w:rPr>
              <w:t>提供耗材及主要零配件目录（含报价）</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4.5</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维修资料</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Arial"/>
                <w:color w:val="000000"/>
                <w:sz w:val="21"/>
                <w:szCs w:val="21"/>
              </w:rPr>
            </w:pPr>
            <w:r>
              <w:rPr>
                <w:rFonts w:hint="eastAsia" w:ascii="宋体" w:hAnsi="宋体" w:cs="宋体"/>
                <w:kern w:val="0"/>
              </w:rPr>
              <w:t>提供详细操作手册、维修保养手册、安装手册等</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kern w:val="0"/>
              </w:rPr>
              <w:t>4.6</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kern w:val="0"/>
              </w:rPr>
              <w:t>维修工具</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rPr>
              <w:t>提供维修专用工具1套</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4.7</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rPr>
              <w:t>保修期内提供定期维护保养服务</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4.8</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维修密码支持</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rPr>
            </w:pPr>
            <w:r>
              <w:rPr>
                <w:rFonts w:hint="eastAsia" w:ascii="宋体" w:hAnsi="宋体" w:cs="宋体"/>
                <w:kern w:val="0"/>
              </w:rPr>
              <w:t>开放</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kern w:val="0"/>
              </w:rPr>
              <w:t>4.9</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kern w:val="0"/>
              </w:rPr>
              <w:t>升级</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kern w:val="0"/>
              </w:rPr>
              <w:t>终身免费软件升级</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4.10</w:t>
            </w:r>
          </w:p>
        </w:tc>
        <w:tc>
          <w:tcPr>
            <w:tcW w:w="209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544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814"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750" w:type="dxa"/>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4.11</w:t>
            </w:r>
          </w:p>
        </w:tc>
        <w:tc>
          <w:tcPr>
            <w:tcW w:w="2091"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544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814" w:type="dxa"/>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bl>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14.</w:t>
      </w:r>
      <w:r>
        <w:rPr>
          <w:rFonts w:hint="eastAsia" w:ascii="方正小标宋简体" w:hAnsi="宋体" w:eastAsia="方正小标宋简体" w:cs="宋体"/>
          <w:bCs/>
          <w:color w:val="auto"/>
          <w:kern w:val="0"/>
          <w:sz w:val="44"/>
          <w:szCs w:val="44"/>
        </w:rPr>
        <w:t>普通PCR仪</w:t>
      </w:r>
      <w:r>
        <w:rPr>
          <w:rFonts w:hint="eastAsia" w:ascii="方正小标宋简体" w:hAnsi="宋体" w:eastAsia="方正小标宋简体" w:cs="宋体"/>
          <w:bCs/>
          <w:color w:val="auto"/>
          <w:kern w:val="0"/>
          <w:sz w:val="44"/>
          <w:szCs w:val="44"/>
          <w:lang w:eastAsia="zh-CN"/>
        </w:rPr>
        <w:t>技术要求</w:t>
      </w:r>
    </w:p>
    <w:tbl>
      <w:tblPr>
        <w:tblStyle w:val="20"/>
        <w:tblW w:w="9345" w:type="dxa"/>
        <w:tblInd w:w="-486" w:type="dxa"/>
        <w:tblLayout w:type="fixed"/>
        <w:tblCellMar>
          <w:top w:w="0" w:type="dxa"/>
          <w:left w:w="108" w:type="dxa"/>
          <w:bottom w:w="0" w:type="dxa"/>
          <w:right w:w="108" w:type="dxa"/>
        </w:tblCellMar>
      </w:tblPr>
      <w:tblGrid>
        <w:gridCol w:w="846"/>
        <w:gridCol w:w="2193"/>
        <w:gridCol w:w="5605"/>
        <w:gridCol w:w="701"/>
      </w:tblGrid>
      <w:tr>
        <w:tblPrEx>
          <w:tblCellMar>
            <w:top w:w="0" w:type="dxa"/>
            <w:left w:w="108" w:type="dxa"/>
            <w:bottom w:w="0" w:type="dxa"/>
            <w:right w:w="108" w:type="dxa"/>
          </w:tblCellMar>
        </w:tblPrEx>
        <w:trPr>
          <w:trHeight w:val="540" w:hRule="atLeast"/>
        </w:trPr>
        <w:tc>
          <w:tcPr>
            <w:tcW w:w="846"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序号</w:t>
            </w:r>
          </w:p>
        </w:tc>
        <w:tc>
          <w:tcPr>
            <w:tcW w:w="2193"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技术和性能参数名称</w:t>
            </w:r>
          </w:p>
        </w:tc>
        <w:tc>
          <w:tcPr>
            <w:tcW w:w="5605"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技术参数和性能要求</w:t>
            </w:r>
          </w:p>
        </w:tc>
        <w:tc>
          <w:tcPr>
            <w:tcW w:w="701"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eastAsia="幼圆" w:cs="宋体"/>
                <w:b/>
                <w:bCs/>
                <w:kern w:val="0"/>
              </w:rPr>
              <w:t>备注</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设备用途</w:t>
            </w:r>
          </w:p>
        </w:tc>
        <w:tc>
          <w:tcPr>
            <w:tcW w:w="5605"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kern w:val="0"/>
                <w:sz w:val="21"/>
                <w:szCs w:val="21"/>
              </w:rPr>
            </w:pPr>
            <w:r>
              <w:rPr>
                <w:rFonts w:hint="eastAsia" w:ascii="宋体" w:hAnsi="宋体" w:cs="宋体"/>
                <w:bCs/>
                <w:kern w:val="0"/>
                <w:sz w:val="21"/>
                <w:szCs w:val="21"/>
              </w:rPr>
              <w:t>DNA扩增</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30" w:hRule="atLeast"/>
        </w:trPr>
        <w:tc>
          <w:tcPr>
            <w:tcW w:w="84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2193"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实验对象</w:t>
            </w:r>
          </w:p>
        </w:tc>
        <w:tc>
          <w:tcPr>
            <w:tcW w:w="560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rPr>
                <w:rFonts w:ascii="宋体" w:hAnsi="宋体" w:cs="宋体"/>
                <w:bCs/>
                <w:kern w:val="0"/>
                <w:sz w:val="21"/>
                <w:szCs w:val="21"/>
              </w:rPr>
            </w:pPr>
            <w:r>
              <w:rPr>
                <w:rFonts w:hint="eastAsia" w:ascii="宋体" w:hAnsi="宋体" w:cs="宋体"/>
                <w:bCs/>
                <w:kern w:val="0"/>
                <w:sz w:val="21"/>
                <w:szCs w:val="21"/>
              </w:rPr>
              <w:t>生物样品</w:t>
            </w:r>
          </w:p>
        </w:tc>
        <w:tc>
          <w:tcPr>
            <w:tcW w:w="701"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kern w:val="0"/>
                <w:sz w:val="21"/>
                <w:szCs w:val="21"/>
              </w:rPr>
            </w:pPr>
            <w:r>
              <w:rPr>
                <w:rFonts w:hint="eastAsia" w:ascii="宋体" w:hAnsi="宋体" w:cs="宋体"/>
                <w:bCs/>
                <w:kern w:val="0"/>
                <w:sz w:val="21"/>
                <w:szCs w:val="21"/>
              </w:rPr>
              <w:t>1.3</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kern w:val="0"/>
                <w:sz w:val="21"/>
                <w:szCs w:val="21"/>
              </w:rPr>
            </w:pPr>
            <w:r>
              <w:rPr>
                <w:rFonts w:hint="eastAsia" w:ascii="宋体" w:hAnsi="宋体" w:cs="宋体"/>
                <w:bCs/>
                <w:kern w:val="0"/>
                <w:sz w:val="21"/>
                <w:szCs w:val="21"/>
              </w:rPr>
              <w:t>特殊功能需求</w:t>
            </w:r>
          </w:p>
        </w:tc>
        <w:tc>
          <w:tcPr>
            <w:tcW w:w="5605" w:type="dxa"/>
            <w:tcBorders>
              <w:top w:val="nil"/>
              <w:left w:val="nil"/>
              <w:bottom w:val="single" w:color="auto" w:sz="4" w:space="0"/>
              <w:right w:val="single" w:color="auto" w:sz="4" w:space="0"/>
            </w:tcBorders>
            <w:noWrap w:val="0"/>
            <w:vAlign w:val="center"/>
          </w:tcPr>
          <w:p>
            <w:pPr>
              <w:widowControl/>
              <w:spacing w:line="240" w:lineRule="auto"/>
              <w:rPr>
                <w:rFonts w:ascii="宋体" w:hAnsi="宋体" w:cs="宋体"/>
                <w:bCs/>
                <w:kern w:val="0"/>
                <w:sz w:val="21"/>
                <w:szCs w:val="21"/>
              </w:rPr>
            </w:pP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p>
        </w:tc>
      </w:tr>
      <w:tr>
        <w:tblPrEx>
          <w:tblCellMar>
            <w:top w:w="0" w:type="dxa"/>
            <w:left w:w="108" w:type="dxa"/>
            <w:bottom w:w="0" w:type="dxa"/>
            <w:right w:w="108" w:type="dxa"/>
          </w:tblCellMar>
        </w:tblPrEx>
        <w:trPr>
          <w:trHeight w:val="585"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2.1</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参数1</w:t>
            </w:r>
          </w:p>
        </w:tc>
        <w:tc>
          <w:tcPr>
            <w:tcW w:w="5605" w:type="dxa"/>
            <w:tcBorders>
              <w:top w:val="nil"/>
              <w:left w:val="nil"/>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sz w:val="21"/>
                <w:szCs w:val="21"/>
              </w:rPr>
              <w:t>双槽9</w:t>
            </w:r>
            <w:r>
              <w:rPr>
                <w:sz w:val="21"/>
                <w:szCs w:val="21"/>
              </w:rPr>
              <w:t>6</w:t>
            </w:r>
            <w:r>
              <w:rPr>
                <w:rFonts w:hint="eastAsia"/>
                <w:sz w:val="21"/>
                <w:szCs w:val="21"/>
              </w:rPr>
              <w:t>孔，可以同时运行两个独立PCR程序</w:t>
            </w:r>
          </w:p>
        </w:tc>
        <w:tc>
          <w:tcPr>
            <w:tcW w:w="701"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kern w:val="0"/>
                <w:sz w:val="21"/>
                <w:szCs w:val="21"/>
              </w:rPr>
            </w:pPr>
          </w:p>
        </w:tc>
      </w:tr>
      <w:tr>
        <w:tblPrEx>
          <w:tblCellMar>
            <w:top w:w="0" w:type="dxa"/>
            <w:left w:w="108" w:type="dxa"/>
            <w:bottom w:w="0" w:type="dxa"/>
            <w:right w:w="108" w:type="dxa"/>
          </w:tblCellMar>
        </w:tblPrEx>
        <w:trPr>
          <w:trHeight w:val="437"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2.2</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参数2</w:t>
            </w:r>
          </w:p>
        </w:tc>
        <w:tc>
          <w:tcPr>
            <w:tcW w:w="5605" w:type="dxa"/>
            <w:tcBorders>
              <w:top w:val="nil"/>
              <w:left w:val="nil"/>
              <w:bottom w:val="single" w:color="auto" w:sz="4" w:space="0"/>
              <w:right w:val="single" w:color="auto" w:sz="4" w:space="0"/>
            </w:tcBorders>
            <w:noWrap w:val="0"/>
            <w:vAlign w:val="center"/>
          </w:tcPr>
          <w:p>
            <w:pPr>
              <w:spacing w:line="240" w:lineRule="auto"/>
              <w:rPr>
                <w:rFonts w:hint="eastAsia"/>
                <w:sz w:val="21"/>
                <w:szCs w:val="21"/>
              </w:rPr>
            </w:pPr>
            <w:r>
              <w:rPr>
                <w:rFonts w:hint="eastAsia"/>
                <w:sz w:val="21"/>
                <w:szCs w:val="21"/>
              </w:rPr>
              <w:t>可采用0.2/0.5 ml 通用模块；</w:t>
            </w:r>
          </w:p>
        </w:tc>
        <w:tc>
          <w:tcPr>
            <w:tcW w:w="701"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rPr>
              <w:t>★</w:t>
            </w:r>
            <w:r>
              <w:rPr>
                <w:rFonts w:hint="eastAsia" w:ascii="宋体" w:hAnsi="宋体" w:cs="宋体"/>
                <w:kern w:val="0"/>
                <w:sz w:val="21"/>
                <w:szCs w:val="21"/>
              </w:rPr>
              <w:t>参数3</w:t>
            </w:r>
          </w:p>
        </w:tc>
        <w:tc>
          <w:tcPr>
            <w:tcW w:w="5605" w:type="dxa"/>
            <w:tcBorders>
              <w:top w:val="nil"/>
              <w:left w:val="nil"/>
              <w:bottom w:val="single" w:color="auto" w:sz="4" w:space="0"/>
              <w:right w:val="single" w:color="auto" w:sz="4" w:space="0"/>
            </w:tcBorders>
            <w:noWrap w:val="0"/>
            <w:vAlign w:val="center"/>
          </w:tcPr>
          <w:p>
            <w:pPr>
              <w:spacing w:line="240" w:lineRule="auto"/>
              <w:rPr>
                <w:rFonts w:hint="eastAsia"/>
                <w:sz w:val="21"/>
                <w:szCs w:val="21"/>
              </w:rPr>
            </w:pPr>
            <w:r>
              <w:rPr>
                <w:rFonts w:hint="eastAsia"/>
                <w:sz w:val="21"/>
                <w:szCs w:val="21"/>
              </w:rPr>
              <w:t>温度均一性：20-72℃ ≤ ±0.3℃；95℃≤±0.4℃；</w:t>
            </w:r>
          </w:p>
        </w:tc>
        <w:tc>
          <w:tcPr>
            <w:tcW w:w="701" w:type="dxa"/>
            <w:tcBorders>
              <w:top w:val="nil"/>
              <w:left w:val="nil"/>
              <w:bottom w:val="single" w:color="auto" w:sz="4" w:space="0"/>
              <w:right w:val="single" w:color="auto" w:sz="8" w:space="0"/>
            </w:tcBorders>
            <w:noWrap w:val="0"/>
            <w:vAlign w:val="center"/>
          </w:tcPr>
          <w:p>
            <w:pPr>
              <w:widowControl/>
              <w:spacing w:line="240" w:lineRule="auto"/>
              <w:jc w:val="left"/>
              <w:rPr>
                <w:rFonts w:hint="eastAsia"/>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2.4</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参数4</w:t>
            </w:r>
          </w:p>
        </w:tc>
        <w:tc>
          <w:tcPr>
            <w:tcW w:w="5605" w:type="dxa"/>
            <w:tcBorders>
              <w:top w:val="nil"/>
              <w:left w:val="nil"/>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sz w:val="21"/>
                <w:szCs w:val="21"/>
              </w:rPr>
              <w:t>模块可以独立运行，软件可以分屏同步显示，或只显示单个模块运行状态；</w:t>
            </w:r>
          </w:p>
        </w:tc>
        <w:tc>
          <w:tcPr>
            <w:tcW w:w="701"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2.5</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参数5</w:t>
            </w:r>
          </w:p>
        </w:tc>
        <w:tc>
          <w:tcPr>
            <w:tcW w:w="5605" w:type="dxa"/>
            <w:tcBorders>
              <w:top w:val="nil"/>
              <w:left w:val="nil"/>
              <w:bottom w:val="single" w:color="auto" w:sz="4" w:space="0"/>
              <w:right w:val="single" w:color="auto" w:sz="4" w:space="0"/>
            </w:tcBorders>
            <w:noWrap w:val="0"/>
            <w:vAlign w:val="center"/>
          </w:tcPr>
          <w:p>
            <w:pPr>
              <w:spacing w:line="240" w:lineRule="auto"/>
              <w:rPr>
                <w:rFonts w:hint="eastAsia"/>
                <w:sz w:val="21"/>
                <w:szCs w:val="21"/>
              </w:rPr>
            </w:pPr>
            <w:r>
              <w:rPr>
                <w:rFonts w:hint="eastAsia"/>
                <w:sz w:val="21"/>
                <w:szCs w:val="21"/>
              </w:rPr>
              <w:t>中文操作界面，操作方便；</w:t>
            </w:r>
          </w:p>
        </w:tc>
        <w:tc>
          <w:tcPr>
            <w:tcW w:w="701"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2.6</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参数6</w:t>
            </w:r>
          </w:p>
        </w:tc>
        <w:tc>
          <w:tcPr>
            <w:tcW w:w="5605" w:type="dxa"/>
            <w:tcBorders>
              <w:top w:val="nil"/>
              <w:left w:val="nil"/>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sz w:val="21"/>
                <w:szCs w:val="21"/>
              </w:rPr>
              <w:t>同时运行两个不同PCR程序；</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2.7</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kern w:val="0"/>
                <w:lang w:val="zh-CN"/>
              </w:rPr>
              <w:t>▲</w:t>
            </w:r>
            <w:r>
              <w:rPr>
                <w:rFonts w:hint="eastAsia" w:ascii="宋体" w:hAnsi="宋体" w:cs="宋体"/>
                <w:kern w:val="0"/>
                <w:sz w:val="21"/>
                <w:szCs w:val="21"/>
              </w:rPr>
              <w:t>参数7</w:t>
            </w:r>
          </w:p>
        </w:tc>
        <w:tc>
          <w:tcPr>
            <w:tcW w:w="5605" w:type="dxa"/>
            <w:tcBorders>
              <w:top w:val="nil"/>
              <w:left w:val="nil"/>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sz w:val="21"/>
                <w:szCs w:val="21"/>
              </w:rPr>
              <w:t>具有温度梯度功能；</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519"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2.8</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参数8</w:t>
            </w:r>
          </w:p>
        </w:tc>
        <w:tc>
          <w:tcPr>
            <w:tcW w:w="5605" w:type="dxa"/>
            <w:tcBorders>
              <w:top w:val="nil"/>
              <w:left w:val="nil"/>
              <w:bottom w:val="single" w:color="auto" w:sz="4" w:space="0"/>
              <w:right w:val="single" w:color="auto" w:sz="4" w:space="0"/>
            </w:tcBorders>
            <w:noWrap w:val="0"/>
            <w:vAlign w:val="center"/>
          </w:tcPr>
          <w:p>
            <w:pPr>
              <w:rPr>
                <w:rFonts w:ascii="宋体" w:hAnsi="宋体"/>
                <w:color w:val="000000"/>
                <w:sz w:val="21"/>
                <w:szCs w:val="21"/>
              </w:rPr>
            </w:pPr>
            <w:r>
              <w:rPr>
                <w:rFonts w:hint="eastAsia"/>
                <w:sz w:val="21"/>
                <w:szCs w:val="21"/>
              </w:rPr>
              <w:t>最大可设≥90个循环/程序，可通过USB接口扩展程序；</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2.9</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参数9</w:t>
            </w:r>
          </w:p>
        </w:tc>
        <w:tc>
          <w:tcPr>
            <w:tcW w:w="5605" w:type="dxa"/>
            <w:tcBorders>
              <w:top w:val="nil"/>
              <w:left w:val="nil"/>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sz w:val="21"/>
                <w:szCs w:val="21"/>
              </w:rPr>
              <w:t>配置CAN_in/CAN_out连接线接口，网络接口，USB接口。</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2.10</w:t>
            </w:r>
          </w:p>
        </w:tc>
        <w:tc>
          <w:tcPr>
            <w:tcW w:w="219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参数10</w:t>
            </w:r>
          </w:p>
        </w:tc>
        <w:tc>
          <w:tcPr>
            <w:tcW w:w="5605" w:type="dxa"/>
            <w:tcBorders>
              <w:top w:val="single" w:color="auto" w:sz="4" w:space="0"/>
              <w:left w:val="nil"/>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sz w:val="21"/>
                <w:szCs w:val="21"/>
              </w:rPr>
              <w:t>可通过Email远端告知实验进程.</w:t>
            </w:r>
          </w:p>
        </w:tc>
        <w:tc>
          <w:tcPr>
            <w:tcW w:w="701" w:type="dxa"/>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3</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配置需求</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　</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3.1</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配置1</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sz w:val="21"/>
                <w:szCs w:val="21"/>
              </w:rPr>
            </w:pPr>
            <w:r>
              <w:rPr>
                <w:rFonts w:ascii="宋体" w:hAnsi="宋体" w:cs="宋体"/>
                <w:kern w:val="0"/>
                <w:sz w:val="21"/>
                <w:szCs w:val="21"/>
              </w:rPr>
              <w:t>主机一台</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3.2</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1"/>
                <w:szCs w:val="21"/>
              </w:rPr>
            </w:pPr>
            <w:r>
              <w:rPr>
                <w:rFonts w:hint="eastAsia" w:ascii="宋体" w:hAnsi="宋体" w:cs="宋体"/>
                <w:kern w:val="0"/>
                <w:sz w:val="21"/>
                <w:szCs w:val="21"/>
              </w:rPr>
              <w:t>配置2</w:t>
            </w:r>
          </w:p>
        </w:tc>
        <w:tc>
          <w:tcPr>
            <w:tcW w:w="5605" w:type="dxa"/>
            <w:tcBorders>
              <w:top w:val="nil"/>
              <w:left w:val="nil"/>
              <w:bottom w:val="single" w:color="auto" w:sz="4" w:space="0"/>
              <w:right w:val="single" w:color="auto" w:sz="4" w:space="0"/>
            </w:tcBorders>
            <w:noWrap w:val="0"/>
            <w:vAlign w:val="center"/>
          </w:tcPr>
          <w:p>
            <w:pPr>
              <w:spacing w:line="240" w:lineRule="auto"/>
              <w:rPr>
                <w:rFonts w:ascii="宋体" w:hAnsi="宋体" w:cs="宋体"/>
              </w:rPr>
            </w:pPr>
            <w:r>
              <w:rPr>
                <w:rFonts w:hint="eastAsia" w:ascii="宋体" w:hAnsi="宋体" w:cs="宋体"/>
              </w:rPr>
              <w:t>64/32x0.2ml或者24/10x0.5ml复合槽</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4</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售后服务</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保修年限</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海外安装,海外维保≥3年</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4.2</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出现故障响应时间</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color w:val="000000"/>
                <w:kern w:val="0"/>
                <w:lang w:bidi="ar"/>
              </w:rPr>
              <w:t>维修响应时间≤ 24小时</w:t>
            </w:r>
            <w:r>
              <w:rPr>
                <w:rFonts w:hint="eastAsia" w:ascii="宋体" w:hAnsi="宋体" w:cs="宋体"/>
                <w:color w:val="000000"/>
                <w:kern w:val="0"/>
                <w:lang w:bidi="ar"/>
              </w:rPr>
              <w:br w:type="textWrapping"/>
            </w:r>
            <w:r>
              <w:rPr>
                <w:rFonts w:hint="eastAsia" w:ascii="宋体" w:hAnsi="宋体" w:cs="宋体"/>
                <w:color w:val="000000"/>
                <w:kern w:val="0"/>
                <w:lang w:bidi="ar"/>
              </w:rPr>
              <w:t>维修修复时间≤45天</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4.3</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维修支持</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配件供应时间≥10年</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4.4</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耗材及零配件</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提供耗材及主要零配件目录（含报价）</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4.5</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维修资料</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提供详细操作手册、维修保养手册、安装手册等</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4.6</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维修工具</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提供维修专用工具1套</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4.7</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保修期内提供定期维护保养服务</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4.8</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维修密码支持</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开放</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4.9</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升级</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终身免费软件升级</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4.10</w:t>
            </w:r>
          </w:p>
        </w:tc>
        <w:tc>
          <w:tcPr>
            <w:tcW w:w="2193"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560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701"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846" w:type="dxa"/>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4.11</w:t>
            </w:r>
          </w:p>
        </w:tc>
        <w:tc>
          <w:tcPr>
            <w:tcW w:w="219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560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701" w:type="dxa"/>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bl>
    <w:p>
      <w:pPr>
        <w:rPr>
          <w:color w:val="auto"/>
        </w:rPr>
      </w:pPr>
    </w:p>
    <w:p>
      <w:pPr>
        <w:rPr>
          <w:rFonts w:hint="eastAsia" w:ascii="方正小标宋简体" w:eastAsia="方正小标宋简体" w:cs="宋体"/>
          <w:b w:val="0"/>
          <w:bCs/>
          <w:color w:val="auto"/>
          <w:sz w:val="44"/>
          <w:szCs w:val="44"/>
          <w:lang w:val="en-US" w:eastAsia="zh-CN"/>
        </w:rPr>
      </w:pPr>
      <w:r>
        <w:rPr>
          <w:rFonts w:hint="eastAsia" w:ascii="方正小标宋简体" w:eastAsia="方正小标宋简体" w:cs="宋体"/>
          <w:b w:val="0"/>
          <w:bCs/>
          <w:color w:val="auto"/>
          <w:sz w:val="44"/>
          <w:szCs w:val="44"/>
          <w:lang w:val="en-US" w:eastAsia="zh-CN"/>
        </w:rPr>
        <w:br w:type="page"/>
      </w:r>
    </w:p>
    <w:p>
      <w:pPr>
        <w:pStyle w:val="6"/>
        <w:widowControl/>
        <w:shd w:val="clear" w:color="auto" w:fill="FFFFFF"/>
        <w:spacing w:before="0" w:beforeAutospacing="0" w:after="0" w:afterAutospacing="0" w:line="360" w:lineRule="atLeast"/>
        <w:ind w:left="150" w:right="150"/>
        <w:jc w:val="center"/>
        <w:rPr>
          <w:rFonts w:hint="eastAsia" w:ascii="方正小标宋简体" w:eastAsia="方正小标宋简体" w:cs="宋体"/>
          <w:b w:val="0"/>
          <w:bCs/>
          <w:color w:val="auto"/>
          <w:sz w:val="44"/>
          <w:szCs w:val="44"/>
          <w:lang w:eastAsia="zh-CN"/>
        </w:rPr>
      </w:pPr>
      <w:r>
        <w:rPr>
          <w:rFonts w:hint="eastAsia" w:ascii="方正小标宋简体" w:eastAsia="方正小标宋简体" w:cs="宋体"/>
          <w:b w:val="0"/>
          <w:bCs/>
          <w:color w:val="auto"/>
          <w:sz w:val="44"/>
          <w:szCs w:val="44"/>
          <w:lang w:val="en-US" w:eastAsia="zh-CN"/>
        </w:rPr>
        <w:t>15.</w:t>
      </w:r>
      <w:r>
        <w:rPr>
          <w:rFonts w:ascii="方正小标宋简体" w:eastAsia="方正小标宋简体" w:cs="宋体"/>
          <w:b w:val="0"/>
          <w:bCs/>
          <w:color w:val="auto"/>
          <w:sz w:val="44"/>
          <w:szCs w:val="44"/>
        </w:rPr>
        <w:t>鼓风干燥箱</w:t>
      </w:r>
      <w:r>
        <w:rPr>
          <w:rFonts w:hint="eastAsia" w:ascii="方正小标宋简体" w:eastAsia="方正小标宋简体" w:cs="宋体"/>
          <w:b w:val="0"/>
          <w:bCs/>
          <w:color w:val="auto"/>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5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7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52" w:type="dxa"/>
            <w:noWrap w:val="0"/>
            <w:vAlign w:val="center"/>
          </w:tcPr>
          <w:p>
            <w:pPr>
              <w:widowControl/>
              <w:spacing w:line="240" w:lineRule="auto"/>
              <w:jc w:val="center"/>
              <w:rPr>
                <w:rFonts w:ascii="宋体" w:hAnsi="宋体" w:cs="宋体"/>
                <w:b/>
                <w:bCs/>
                <w:color w:val="auto"/>
                <w:kern w:val="0"/>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52"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用于快速干燥样品容器，实验器械等</w:t>
            </w: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52"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样品容器，实验器械</w:t>
            </w:r>
          </w:p>
        </w:tc>
        <w:tc>
          <w:tcPr>
            <w:tcW w:w="873"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52" w:type="dxa"/>
            <w:noWrap w:val="0"/>
            <w:vAlign w:val="center"/>
          </w:tcPr>
          <w:p>
            <w:pPr>
              <w:widowControl/>
              <w:spacing w:line="240" w:lineRule="auto"/>
              <w:rPr>
                <w:rFonts w:ascii="宋体" w:hAnsi="宋体" w:cs="宋体"/>
                <w:bCs/>
                <w:color w:val="auto"/>
                <w:kern w:val="0"/>
                <w:sz w:val="21"/>
                <w:szCs w:val="21"/>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652" w:type="dxa"/>
            <w:noWrap w:val="0"/>
            <w:vAlign w:val="center"/>
          </w:tcPr>
          <w:p>
            <w:pPr>
              <w:widowControl/>
              <w:spacing w:line="240" w:lineRule="auto"/>
              <w:jc w:val="center"/>
              <w:rPr>
                <w:rFonts w:ascii="宋体" w:hAnsi="宋体" w:cs="宋体"/>
                <w:color w:val="auto"/>
                <w:kern w:val="0"/>
                <w:sz w:val="21"/>
                <w:szCs w:val="21"/>
              </w:rPr>
            </w:pP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52" w:type="dxa"/>
            <w:noWrap w:val="0"/>
            <w:vAlign w:val="center"/>
          </w:tcPr>
          <w:p>
            <w:pPr>
              <w:rPr>
                <w:rFonts w:hint="eastAsia" w:ascii="宋体" w:hAnsi="宋体"/>
                <w:color w:val="auto"/>
                <w:sz w:val="21"/>
                <w:szCs w:val="21"/>
              </w:rPr>
            </w:pPr>
            <w:r>
              <w:rPr>
                <w:rFonts w:hint="eastAsia" w:ascii="宋体" w:hAnsi="宋体"/>
                <w:color w:val="auto"/>
                <w:sz w:val="21"/>
                <w:szCs w:val="21"/>
              </w:rPr>
              <w:t>室温+5～300℃</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52" w:type="dxa"/>
            <w:noWrap w:val="0"/>
            <w:vAlign w:val="center"/>
          </w:tcPr>
          <w:p>
            <w:pPr>
              <w:spacing w:line="240" w:lineRule="auto"/>
              <w:rPr>
                <w:rFonts w:hint="eastAsia"/>
                <w:color w:val="auto"/>
                <w:sz w:val="21"/>
                <w:szCs w:val="21"/>
              </w:rPr>
            </w:pPr>
            <w:r>
              <w:rPr>
                <w:rFonts w:hint="eastAsia"/>
                <w:color w:val="auto"/>
                <w:sz w:val="21"/>
                <w:szCs w:val="21"/>
              </w:rPr>
              <w:t>升温速率：＞5℃/min（150℃）</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652" w:type="dxa"/>
            <w:noWrap w:val="0"/>
            <w:vAlign w:val="center"/>
          </w:tcPr>
          <w:p>
            <w:pPr>
              <w:rPr>
                <w:rFonts w:ascii="宋体" w:hAnsi="宋体"/>
                <w:color w:val="auto"/>
                <w:sz w:val="21"/>
                <w:szCs w:val="21"/>
              </w:rPr>
            </w:pPr>
            <w:r>
              <w:rPr>
                <w:rFonts w:hint="eastAsia"/>
                <w:color w:val="auto"/>
                <w:sz w:val="21"/>
                <w:szCs w:val="21"/>
              </w:rPr>
              <w:t>内胆尺寸≥630×530×630mm</w:t>
            </w:r>
          </w:p>
        </w:tc>
        <w:tc>
          <w:tcPr>
            <w:tcW w:w="873"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52" w:type="dxa"/>
            <w:noWrap w:val="0"/>
            <w:vAlign w:val="center"/>
          </w:tcPr>
          <w:p>
            <w:pPr>
              <w:rPr>
                <w:rFonts w:hint="eastAsia" w:ascii="宋体" w:hAnsi="宋体"/>
                <w:color w:val="auto"/>
                <w:sz w:val="21"/>
                <w:szCs w:val="21"/>
              </w:rPr>
            </w:pPr>
            <w:r>
              <w:rPr>
                <w:rFonts w:hint="eastAsia"/>
                <w:color w:val="auto"/>
                <w:sz w:val="21"/>
                <w:szCs w:val="21"/>
              </w:rPr>
              <w:t>搁架承重≥15Kg</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652" w:type="dxa"/>
            <w:noWrap w:val="0"/>
            <w:vAlign w:val="center"/>
          </w:tcPr>
          <w:p>
            <w:pPr>
              <w:spacing w:line="240" w:lineRule="auto"/>
              <w:rPr>
                <w:rFonts w:hint="eastAsia"/>
                <w:color w:val="auto"/>
                <w:sz w:val="21"/>
                <w:szCs w:val="21"/>
              </w:rPr>
            </w:pPr>
            <w:r>
              <w:rPr>
                <w:rFonts w:hint="eastAsia"/>
                <w:color w:val="auto"/>
                <w:sz w:val="21"/>
                <w:szCs w:val="21"/>
              </w:rPr>
              <w:t>电压：220V/50Hz</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652" w:type="dxa"/>
            <w:noWrap w:val="0"/>
            <w:vAlign w:val="center"/>
          </w:tcPr>
          <w:p>
            <w:pPr>
              <w:spacing w:line="240" w:lineRule="auto"/>
              <w:rPr>
                <w:rFonts w:hint="eastAsia"/>
                <w:color w:val="auto"/>
                <w:sz w:val="21"/>
                <w:szCs w:val="21"/>
              </w:rPr>
            </w:pPr>
            <w:r>
              <w:rPr>
                <w:rFonts w:hint="eastAsia"/>
                <w:color w:val="auto"/>
                <w:sz w:val="21"/>
                <w:szCs w:val="21"/>
              </w:rPr>
              <w:t>均匀度：±2.5%</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652" w:type="dxa"/>
            <w:noWrap w:val="0"/>
            <w:vAlign w:val="center"/>
          </w:tcPr>
          <w:p>
            <w:pPr>
              <w:spacing w:line="240" w:lineRule="auto"/>
              <w:rPr>
                <w:rFonts w:hint="eastAsia"/>
                <w:color w:val="auto"/>
                <w:sz w:val="21"/>
                <w:szCs w:val="21"/>
              </w:rPr>
            </w:pPr>
            <w:r>
              <w:rPr>
                <w:rFonts w:hint="eastAsia"/>
                <w:color w:val="auto"/>
                <w:sz w:val="21"/>
                <w:szCs w:val="21"/>
              </w:rPr>
              <w:t>功率：≥2750W</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652"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52"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52"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52"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87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6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87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16.</w:t>
      </w:r>
      <w:r>
        <w:rPr>
          <w:rFonts w:hint="eastAsia" w:ascii="方正小标宋简体" w:hAnsi="宋体" w:eastAsia="方正小标宋简体" w:cs="宋体"/>
          <w:bCs/>
          <w:color w:val="auto"/>
          <w:kern w:val="0"/>
          <w:sz w:val="44"/>
          <w:szCs w:val="44"/>
        </w:rPr>
        <w:t>纯水系统</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56"/>
        <w:gridCol w:w="505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05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057" w:type="dxa"/>
            <w:noWrap w:val="0"/>
            <w:vAlign w:val="center"/>
          </w:tcPr>
          <w:p>
            <w:pPr>
              <w:widowControl/>
              <w:spacing w:line="240" w:lineRule="auto"/>
              <w:jc w:val="center"/>
              <w:rPr>
                <w:rFonts w:ascii="宋体" w:hAnsi="宋体" w:cs="宋体"/>
                <w:b/>
                <w:bCs/>
                <w:color w:val="auto"/>
                <w:kern w:val="0"/>
              </w:rPr>
            </w:pP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5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057"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玻璃器皿的最后冲洗、化学/生化试剂配制、分析试剂及药品配制、稀释等的分析级纯水（II级水）和用于细胞培养、Q-PCR、肽谱分析等生物工程实验所需超纯水及高精密分析设备(AAS,IC,HPLC,LC,GC-MS等)配液所需超纯水（I级水）。</w:t>
            </w:r>
            <w:r>
              <w:rPr>
                <w:rFonts w:hint="eastAsia" w:ascii="宋体" w:hAnsi="宋体" w:cs="宋体"/>
                <w:bCs/>
                <w:color w:val="auto"/>
                <w:kern w:val="0"/>
                <w:sz w:val="21"/>
                <w:szCs w:val="21"/>
              </w:rPr>
              <w:tab/>
            </w:r>
            <w:r>
              <w:rPr>
                <w:rFonts w:hint="eastAsia" w:ascii="宋体" w:hAnsi="宋体" w:cs="宋体"/>
                <w:bCs/>
                <w:color w:val="auto"/>
                <w:kern w:val="0"/>
                <w:sz w:val="21"/>
                <w:szCs w:val="21"/>
              </w:rPr>
              <w:tab/>
            </w:r>
            <w:r>
              <w:rPr>
                <w:rFonts w:hint="eastAsia" w:ascii="宋体" w:hAnsi="宋体" w:cs="宋体"/>
                <w:bCs/>
                <w:color w:val="auto"/>
                <w:kern w:val="0"/>
                <w:sz w:val="21"/>
                <w:szCs w:val="21"/>
              </w:rPr>
              <w:tab/>
            </w: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56"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057"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生物样品，各种理化样品</w:t>
            </w:r>
          </w:p>
        </w:tc>
        <w:tc>
          <w:tcPr>
            <w:tcW w:w="9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5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057" w:type="dxa"/>
            <w:noWrap w:val="0"/>
            <w:vAlign w:val="center"/>
          </w:tcPr>
          <w:p>
            <w:pPr>
              <w:widowControl/>
              <w:spacing w:line="240" w:lineRule="auto"/>
              <w:rPr>
                <w:rFonts w:ascii="宋体" w:hAnsi="宋体" w:cs="宋体"/>
                <w:bCs/>
                <w:color w:val="auto"/>
                <w:kern w:val="0"/>
                <w:sz w:val="21"/>
                <w:szCs w:val="21"/>
              </w:rPr>
            </w:pP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56"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057" w:type="dxa"/>
            <w:noWrap w:val="0"/>
            <w:vAlign w:val="center"/>
          </w:tcPr>
          <w:p>
            <w:pPr>
              <w:widowControl/>
              <w:spacing w:line="240" w:lineRule="auto"/>
              <w:jc w:val="center"/>
              <w:rPr>
                <w:rFonts w:ascii="宋体" w:hAnsi="宋体" w:cs="宋体"/>
                <w:color w:val="auto"/>
                <w:kern w:val="0"/>
                <w:sz w:val="21"/>
                <w:szCs w:val="21"/>
              </w:rPr>
            </w:pP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5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057" w:type="dxa"/>
            <w:noWrap w:val="0"/>
            <w:vAlign w:val="center"/>
          </w:tcPr>
          <w:p>
            <w:pPr>
              <w:rPr>
                <w:rFonts w:hint="eastAsia" w:ascii="宋体" w:hAnsi="宋体" w:cs="宋体"/>
                <w:bCs/>
                <w:color w:val="auto"/>
                <w:kern w:val="0"/>
                <w:sz w:val="21"/>
                <w:szCs w:val="21"/>
              </w:rPr>
            </w:pPr>
            <w:r>
              <w:rPr>
                <w:rFonts w:hint="eastAsia" w:ascii="宋体" w:hAnsi="宋体" w:cs="宋体"/>
                <w:bCs/>
                <w:color w:val="auto"/>
                <w:kern w:val="0"/>
                <w:sz w:val="21"/>
                <w:szCs w:val="21"/>
              </w:rPr>
              <w:t>采用一体机设计，一台主机可同时产超纯水及二级纯水，自来水进水电导率&lt;2000μS/cm(25℃)。</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057" w:type="dxa"/>
            <w:noWrap w:val="0"/>
            <w:vAlign w:val="center"/>
          </w:tcPr>
          <w:p>
            <w:pPr>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超纯水 (TOC) ≤2ppb；</w:t>
            </w:r>
          </w:p>
          <w:p>
            <w:pPr>
              <w:spacing w:line="240" w:lineRule="auto"/>
              <w:rPr>
                <w:rFonts w:ascii="宋体" w:hAnsi="宋体" w:cs="宋体"/>
                <w:bCs/>
                <w:color w:val="auto"/>
                <w:kern w:val="0"/>
                <w:sz w:val="21"/>
                <w:szCs w:val="21"/>
              </w:rPr>
            </w:pPr>
            <w:r>
              <w:rPr>
                <w:rFonts w:hint="eastAsia" w:ascii="宋体" w:hAnsi="宋体" w:cs="宋体"/>
                <w:bCs/>
                <w:color w:val="auto"/>
                <w:kern w:val="0"/>
                <w:sz w:val="21"/>
                <w:szCs w:val="21"/>
              </w:rPr>
              <w:t>RNases:&lt;1.</w:t>
            </w:r>
            <w:r>
              <w:rPr>
                <w:rFonts w:ascii="宋体" w:hAnsi="宋体" w:cs="宋体"/>
                <w:bCs/>
                <w:color w:val="auto"/>
                <w:kern w:val="0"/>
                <w:sz w:val="21"/>
                <w:szCs w:val="21"/>
              </w:rPr>
              <w:t>5p</w:t>
            </w:r>
            <w:r>
              <w:rPr>
                <w:rFonts w:hint="eastAsia" w:ascii="宋体" w:hAnsi="宋体" w:cs="宋体"/>
                <w:bCs/>
                <w:color w:val="auto"/>
                <w:kern w:val="0"/>
                <w:sz w:val="21"/>
                <w:szCs w:val="21"/>
              </w:rPr>
              <w:t>g/ml ；</w:t>
            </w:r>
          </w:p>
          <w:p>
            <w:pPr>
              <w:spacing w:line="240" w:lineRule="auto"/>
              <w:rPr>
                <w:rFonts w:ascii="宋体" w:hAnsi="宋体" w:cs="宋体"/>
                <w:bCs/>
                <w:color w:val="auto"/>
                <w:kern w:val="0"/>
                <w:sz w:val="21"/>
                <w:szCs w:val="21"/>
              </w:rPr>
            </w:pPr>
            <w:r>
              <w:rPr>
                <w:rFonts w:hint="eastAsia" w:ascii="宋体" w:hAnsi="宋体" w:cs="宋体"/>
                <w:bCs/>
                <w:color w:val="auto"/>
                <w:kern w:val="0"/>
                <w:sz w:val="21"/>
                <w:szCs w:val="21"/>
              </w:rPr>
              <w:t>DNases:&lt;</w:t>
            </w:r>
            <w:r>
              <w:rPr>
                <w:rFonts w:ascii="宋体" w:hAnsi="宋体" w:cs="宋体"/>
                <w:bCs/>
                <w:color w:val="auto"/>
                <w:kern w:val="0"/>
                <w:sz w:val="21"/>
                <w:szCs w:val="21"/>
              </w:rPr>
              <w:t>5</w:t>
            </w:r>
            <w:r>
              <w:rPr>
                <w:rFonts w:hint="eastAsia" w:ascii="宋体" w:hAnsi="宋体" w:cs="宋体"/>
                <w:bCs/>
                <w:color w:val="auto"/>
                <w:kern w:val="0"/>
                <w:sz w:val="21"/>
                <w:szCs w:val="21"/>
              </w:rPr>
              <w:t>pg/ml</w:t>
            </w:r>
            <w:r>
              <w:rPr>
                <w:rFonts w:ascii="宋体" w:hAnsi="宋体" w:cs="宋体"/>
                <w:bCs/>
                <w:color w:val="auto"/>
                <w:kern w:val="0"/>
                <w:sz w:val="21"/>
                <w:szCs w:val="21"/>
              </w:rPr>
              <w:t xml:space="preserve"> </w:t>
            </w:r>
            <w:r>
              <w:rPr>
                <w:rFonts w:hint="eastAsia" w:ascii="宋体" w:hAnsi="宋体" w:cs="宋体"/>
                <w:bCs/>
                <w:color w:val="auto"/>
                <w:kern w:val="0"/>
                <w:sz w:val="21"/>
                <w:szCs w:val="21"/>
              </w:rPr>
              <w:t>；</w:t>
            </w:r>
          </w:p>
          <w:p>
            <w:pPr>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蛋白酶 &lt;0.15 μg/mL。</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5057" w:type="dxa"/>
            <w:noWrap w:val="0"/>
            <w:vAlign w:val="center"/>
          </w:tcPr>
          <w:p>
            <w:pPr>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配置EDI节水模块。</w:t>
            </w:r>
          </w:p>
        </w:tc>
        <w:tc>
          <w:tcPr>
            <w:tcW w:w="956"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057" w:type="dxa"/>
            <w:noWrap w:val="0"/>
            <w:vAlign w:val="center"/>
          </w:tcPr>
          <w:p>
            <w:pPr>
              <w:rPr>
                <w:rFonts w:hint="eastAsia" w:ascii="宋体" w:hAnsi="宋体" w:cs="宋体"/>
                <w:bCs/>
                <w:color w:val="auto"/>
                <w:kern w:val="0"/>
                <w:sz w:val="21"/>
                <w:szCs w:val="21"/>
              </w:rPr>
            </w:pPr>
            <w:r>
              <w:rPr>
                <w:rFonts w:hint="eastAsia" w:ascii="宋体" w:hAnsi="宋体" w:cs="宋体"/>
                <w:bCs/>
                <w:color w:val="auto"/>
                <w:kern w:val="0"/>
                <w:sz w:val="21"/>
                <w:szCs w:val="21"/>
              </w:rPr>
              <w:t>内置独立TOC检测仪,可在线检测超纯水TOC，</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057" w:type="dxa"/>
            <w:noWrap w:val="0"/>
            <w:vAlign w:val="center"/>
          </w:tcPr>
          <w:p>
            <w:pPr>
              <w:spacing w:line="240" w:lineRule="auto"/>
              <w:rPr>
                <w:rFonts w:hint="eastAsia"/>
                <w:color w:val="auto"/>
                <w:sz w:val="21"/>
                <w:szCs w:val="21"/>
              </w:rPr>
            </w:pPr>
            <w:r>
              <w:rPr>
                <w:rFonts w:hint="eastAsia"/>
                <w:color w:val="auto"/>
                <w:sz w:val="21"/>
                <w:szCs w:val="21"/>
              </w:rPr>
              <w:t xml:space="preserve">标配两个远端独立取水器，分别取纯水和超纯水。具有定容及定量取水功能。 </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057" w:type="dxa"/>
            <w:noWrap w:val="0"/>
            <w:vAlign w:val="center"/>
          </w:tcPr>
          <w:p>
            <w:pPr>
              <w:rPr>
                <w:rFonts w:hint="eastAsia" w:ascii="宋体" w:hAnsi="宋体"/>
                <w:color w:val="auto"/>
                <w:sz w:val="21"/>
                <w:szCs w:val="21"/>
              </w:rPr>
            </w:pPr>
            <w:r>
              <w:rPr>
                <w:rFonts w:hint="eastAsia"/>
                <w:color w:val="auto"/>
                <w:sz w:val="21"/>
                <w:szCs w:val="21"/>
              </w:rPr>
              <w:t>一级超纯水电阻率：18.2 MΩ·cm＠25℃。二级纯水电阻率&gt;5 MΩ·cm＠25℃。</w:t>
            </w:r>
          </w:p>
        </w:tc>
        <w:tc>
          <w:tcPr>
            <w:tcW w:w="95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057" w:type="dxa"/>
            <w:noWrap w:val="0"/>
            <w:vAlign w:val="center"/>
          </w:tcPr>
          <w:p>
            <w:pPr>
              <w:rPr>
                <w:rFonts w:ascii="宋体" w:hAnsi="宋体"/>
                <w:color w:val="auto"/>
                <w:sz w:val="21"/>
                <w:szCs w:val="21"/>
              </w:rPr>
            </w:pPr>
            <w:r>
              <w:rPr>
                <w:rFonts w:hint="eastAsia"/>
                <w:color w:val="auto"/>
                <w:sz w:val="21"/>
                <w:szCs w:val="21"/>
              </w:rPr>
              <w:t>配置杀菌无汞紫外灯</w:t>
            </w:r>
          </w:p>
        </w:tc>
        <w:tc>
          <w:tcPr>
            <w:tcW w:w="95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057" w:type="dxa"/>
            <w:noWrap w:val="0"/>
            <w:vAlign w:val="center"/>
          </w:tcPr>
          <w:p>
            <w:pPr>
              <w:rPr>
                <w:rFonts w:hint="eastAsia" w:ascii="宋体" w:hAnsi="宋体"/>
                <w:color w:val="auto"/>
                <w:sz w:val="21"/>
                <w:szCs w:val="21"/>
              </w:rPr>
            </w:pPr>
            <w:r>
              <w:rPr>
                <w:rFonts w:hint="eastAsia"/>
                <w:color w:val="auto"/>
                <w:sz w:val="21"/>
                <w:szCs w:val="21"/>
              </w:rPr>
              <w:t>纯水产水量</w:t>
            </w:r>
            <w:r>
              <w:rPr>
                <w:rFonts w:hint="eastAsia" w:ascii="宋体" w:hAnsi="宋体"/>
                <w:color w:val="auto"/>
                <w:sz w:val="21"/>
                <w:szCs w:val="21"/>
              </w:rPr>
              <w:t>≥</w:t>
            </w:r>
            <w:r>
              <w:rPr>
                <w:rFonts w:hint="eastAsia"/>
                <w:color w:val="auto"/>
                <w:sz w:val="21"/>
                <w:szCs w:val="21"/>
              </w:rPr>
              <w:t>5</w:t>
            </w:r>
            <w:r>
              <w:rPr>
                <w:color w:val="auto"/>
                <w:sz w:val="21"/>
                <w:szCs w:val="21"/>
              </w:rPr>
              <w:t>L/h,</w:t>
            </w:r>
            <w:r>
              <w:rPr>
                <w:rFonts w:hint="eastAsia"/>
                <w:color w:val="auto"/>
                <w:sz w:val="21"/>
                <w:szCs w:val="21"/>
              </w:rPr>
              <w:t>超纯水产水量2</w:t>
            </w:r>
            <w:r>
              <w:rPr>
                <w:color w:val="auto"/>
                <w:sz w:val="21"/>
                <w:szCs w:val="21"/>
              </w:rPr>
              <w:t>L</w:t>
            </w:r>
            <w:r>
              <w:rPr>
                <w:rFonts w:hint="eastAsia"/>
                <w:color w:val="auto"/>
                <w:sz w:val="21"/>
                <w:szCs w:val="21"/>
              </w:rPr>
              <w:t>/m</w:t>
            </w:r>
            <w:r>
              <w:rPr>
                <w:color w:val="auto"/>
                <w:sz w:val="21"/>
                <w:szCs w:val="21"/>
              </w:rPr>
              <w:t>in</w:t>
            </w:r>
            <w:r>
              <w:rPr>
                <w:rFonts w:hint="eastAsia"/>
                <w:color w:val="auto"/>
                <w:sz w:val="21"/>
                <w:szCs w:val="21"/>
              </w:rPr>
              <w:t>。</w:t>
            </w:r>
          </w:p>
        </w:tc>
        <w:tc>
          <w:tcPr>
            <w:tcW w:w="95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156"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05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15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05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超纯水纯水一体机主机一台</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057" w:type="dxa"/>
            <w:noWrap w:val="0"/>
            <w:vAlign w:val="center"/>
          </w:tcPr>
          <w:p>
            <w:pPr>
              <w:spacing w:line="240" w:lineRule="auto"/>
              <w:jc w:val="center"/>
              <w:rPr>
                <w:rFonts w:ascii="宋体" w:hAnsi="宋体" w:cs="宋体"/>
                <w:color w:val="auto"/>
              </w:rPr>
            </w:pPr>
            <w:r>
              <w:rPr>
                <w:rFonts w:hint="eastAsia" w:ascii="宋体" w:hAnsi="宋体" w:cs="宋体"/>
                <w:color w:val="auto"/>
                <w:shd w:val="clear" w:color="auto" w:fill="FFFFFF"/>
              </w:rPr>
              <w:t>超纯水远端取水手臂一个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3.3</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纯水远端取水手臂一个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3.4</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50L自动水箱一个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3.5</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配置5</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ascii="宋体" w:hAnsi="宋体" w:cs="宋体"/>
                <w:color w:val="auto"/>
                <w:shd w:val="clear" w:color="auto" w:fill="FFFFFF"/>
              </w:rPr>
              <w:t>4.5</w:t>
            </w:r>
            <w:r>
              <w:rPr>
                <w:rFonts w:hint="eastAsia" w:ascii="宋体" w:hAnsi="宋体" w:cs="宋体"/>
                <w:color w:val="auto"/>
                <w:shd w:val="clear" w:color="auto" w:fill="FFFFFF"/>
              </w:rPr>
              <w:t>米取水臂连接管路及数据线两个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3.6</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配置6</w:t>
            </w:r>
          </w:p>
        </w:tc>
        <w:tc>
          <w:tcPr>
            <w:tcW w:w="5057" w:type="dxa"/>
            <w:noWrap w:val="0"/>
            <w:vAlign w:val="center"/>
          </w:tcPr>
          <w:p>
            <w:pPr>
              <w:spacing w:line="240" w:lineRule="auto"/>
              <w:jc w:val="center"/>
              <w:rPr>
                <w:rFonts w:ascii="宋体" w:hAnsi="宋体" w:cs="宋体"/>
                <w:color w:val="auto"/>
                <w:shd w:val="clear" w:color="auto" w:fill="FFFFFF"/>
              </w:rPr>
            </w:pPr>
            <w:r>
              <w:rPr>
                <w:rFonts w:hint="eastAsia" w:ascii="宋体" w:hAnsi="宋体" w:cs="宋体"/>
                <w:color w:val="auto"/>
                <w:shd w:val="clear" w:color="auto" w:fill="FFFFFF"/>
              </w:rPr>
              <w:t>4</w:t>
            </w:r>
            <w:r>
              <w:rPr>
                <w:rFonts w:ascii="宋体" w:hAnsi="宋体" w:cs="宋体"/>
                <w:color w:val="auto"/>
                <w:shd w:val="clear" w:color="auto" w:fill="FFFFFF"/>
              </w:rPr>
              <w:t>.5</w:t>
            </w:r>
            <w:r>
              <w:rPr>
                <w:rFonts w:hint="eastAsia" w:ascii="宋体" w:hAnsi="宋体" w:cs="宋体"/>
                <w:color w:val="auto"/>
                <w:shd w:val="clear" w:color="auto" w:fill="FFFFFF"/>
              </w:rPr>
              <w:t>米水箱与主机水箱连接组件一个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3.7</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配置7</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水箱自动清洁单元（带265nm紫外灯）一个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3.8</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配置8</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预纯化柱一个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3.9</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配置9</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精纯化柱一个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3.10</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配置10</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0.22</w:t>
            </w:r>
            <w:r>
              <w:rPr>
                <w:rFonts w:ascii="宋体" w:hAnsi="宋体" w:cs="宋体"/>
                <w:color w:val="auto"/>
                <w:shd w:val="clear" w:color="auto" w:fill="FFFFFF"/>
              </w:rPr>
              <w:t>um</w:t>
            </w:r>
            <w:r>
              <w:rPr>
                <w:rFonts w:hint="eastAsia" w:ascii="宋体" w:hAnsi="宋体" w:cs="宋体"/>
                <w:color w:val="auto"/>
                <w:shd w:val="clear" w:color="auto" w:fill="FFFFFF"/>
              </w:rPr>
              <w:t>终端过滤器两个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3.11</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配置11</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水箱空气过滤器一个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3.12</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配置12</w:t>
            </w:r>
          </w:p>
        </w:tc>
        <w:tc>
          <w:tcPr>
            <w:tcW w:w="5057"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清洗药片一盒</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1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05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9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05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05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17.</w:t>
      </w:r>
      <w:r>
        <w:rPr>
          <w:rFonts w:hint="eastAsia" w:ascii="方正小标宋简体" w:hAnsi="宋体" w:eastAsia="方正小标宋简体" w:cs="宋体"/>
          <w:bCs/>
          <w:color w:val="auto"/>
          <w:kern w:val="0"/>
          <w:sz w:val="44"/>
          <w:szCs w:val="44"/>
        </w:rPr>
        <w:t>虫媒监测工具1-电动吸蚊器</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406"/>
        <w:gridCol w:w="438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40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38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40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383"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4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383"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捕吸</w:t>
            </w:r>
            <w:r>
              <w:rPr>
                <w:rFonts w:ascii="宋体" w:hAnsi="宋体" w:cs="宋体"/>
                <w:bCs/>
                <w:color w:val="auto"/>
                <w:kern w:val="0"/>
                <w:sz w:val="21"/>
                <w:szCs w:val="21"/>
              </w:rPr>
              <w:t>蚊</w:t>
            </w:r>
            <w:r>
              <w:rPr>
                <w:rFonts w:hint="eastAsia" w:ascii="宋体" w:hAnsi="宋体" w:cs="宋体"/>
                <w:bCs/>
                <w:color w:val="auto"/>
                <w:kern w:val="0"/>
                <w:sz w:val="21"/>
                <w:szCs w:val="21"/>
              </w:rPr>
              <w:t>虫，进行检验</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406"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383"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蚊虫</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40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383"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406"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383"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4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383"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采用干电池、充电宝、交流电供电</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383"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额定功率≥1W</w:t>
            </w:r>
          </w:p>
        </w:tc>
        <w:tc>
          <w:tcPr>
            <w:tcW w:w="138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383"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挡蚊网直径≥50mm</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383"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排气网直径≥65mm</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38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383"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383"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383" w:type="dxa"/>
            <w:noWrap w:val="0"/>
            <w:vAlign w:val="center"/>
          </w:tcPr>
          <w:p>
            <w:pPr>
              <w:widowControl/>
              <w:spacing w:line="240" w:lineRule="auto"/>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38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38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38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383"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406"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38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4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38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40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383"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40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38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40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38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40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38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18.</w:t>
      </w:r>
      <w:r>
        <w:rPr>
          <w:rFonts w:hint="eastAsia" w:ascii="方正小标宋简体" w:hAnsi="宋体" w:eastAsia="方正小标宋简体" w:cs="宋体"/>
          <w:bCs/>
          <w:color w:val="auto"/>
          <w:kern w:val="0"/>
          <w:sz w:val="44"/>
          <w:szCs w:val="44"/>
        </w:rPr>
        <w:t>虫媒监测工具2-昆虫诱捕装置</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545"/>
        <w:gridCol w:w="4898"/>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5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89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5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898" w:type="dxa"/>
            <w:noWrap w:val="0"/>
            <w:vAlign w:val="center"/>
          </w:tcPr>
          <w:p>
            <w:pPr>
              <w:widowControl/>
              <w:spacing w:line="240" w:lineRule="auto"/>
              <w:jc w:val="center"/>
              <w:rPr>
                <w:rFonts w:ascii="宋体" w:hAnsi="宋体" w:cs="宋体"/>
                <w:b/>
                <w:bCs/>
                <w:color w:val="auto"/>
                <w:kern w:val="0"/>
              </w:rPr>
            </w:pPr>
          </w:p>
        </w:tc>
        <w:tc>
          <w:tcPr>
            <w:tcW w:w="91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5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8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发光诱捕蚊虫</w:t>
            </w:r>
          </w:p>
        </w:tc>
        <w:tc>
          <w:tcPr>
            <w:tcW w:w="91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545"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898"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11"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54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898" w:type="dxa"/>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蚊虫</w:t>
            </w:r>
          </w:p>
        </w:tc>
        <w:tc>
          <w:tcPr>
            <w:tcW w:w="91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54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898" w:type="dxa"/>
            <w:noWrap w:val="0"/>
            <w:vAlign w:val="center"/>
          </w:tcPr>
          <w:p>
            <w:pPr>
              <w:widowControl/>
              <w:spacing w:line="240" w:lineRule="auto"/>
              <w:jc w:val="center"/>
              <w:rPr>
                <w:rFonts w:ascii="宋体" w:hAnsi="宋体" w:cs="宋体"/>
                <w:color w:val="auto"/>
                <w:kern w:val="0"/>
                <w:sz w:val="21"/>
                <w:szCs w:val="21"/>
              </w:rPr>
            </w:pPr>
          </w:p>
        </w:tc>
        <w:tc>
          <w:tcPr>
            <w:tcW w:w="91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5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8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可发出特定波长光吸引蚊虫</w:t>
            </w:r>
          </w:p>
        </w:tc>
        <w:tc>
          <w:tcPr>
            <w:tcW w:w="911"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8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充电电池、充电宝、交流电供电</w:t>
            </w:r>
          </w:p>
        </w:tc>
        <w:tc>
          <w:tcPr>
            <w:tcW w:w="911"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8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配置收集装置，可防蚊虫逃逸</w:t>
            </w:r>
          </w:p>
        </w:tc>
        <w:tc>
          <w:tcPr>
            <w:tcW w:w="911"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8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898"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898"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8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8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8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8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898"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1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54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89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1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5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89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1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54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898"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1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5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89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1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5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5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19.</w:t>
      </w:r>
      <w:r>
        <w:rPr>
          <w:rFonts w:hint="eastAsia" w:ascii="方正小标宋简体" w:hAnsi="宋体" w:eastAsia="方正小标宋简体" w:cs="宋体"/>
          <w:bCs/>
          <w:color w:val="auto"/>
          <w:kern w:val="0"/>
          <w:sz w:val="44"/>
          <w:szCs w:val="44"/>
        </w:rPr>
        <w:t>虫媒监测工具3-二氧化碳捕蚊器</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56"/>
        <w:gridCol w:w="5186"/>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8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2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86" w:type="dxa"/>
            <w:noWrap w:val="0"/>
            <w:vAlign w:val="center"/>
          </w:tcPr>
          <w:p>
            <w:pPr>
              <w:widowControl/>
              <w:spacing w:line="240" w:lineRule="auto"/>
              <w:jc w:val="center"/>
              <w:rPr>
                <w:rFonts w:ascii="宋体" w:hAnsi="宋体" w:cs="宋体"/>
                <w:b/>
                <w:bCs/>
                <w:color w:val="auto"/>
                <w:kern w:val="0"/>
              </w:rPr>
            </w:pPr>
          </w:p>
        </w:tc>
        <w:tc>
          <w:tcPr>
            <w:tcW w:w="82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5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86"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二氧化碳诱捕蚊虫</w:t>
            </w:r>
          </w:p>
        </w:tc>
        <w:tc>
          <w:tcPr>
            <w:tcW w:w="82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56"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86"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蚊虫</w:t>
            </w:r>
          </w:p>
        </w:tc>
        <w:tc>
          <w:tcPr>
            <w:tcW w:w="827"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5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86" w:type="dxa"/>
            <w:noWrap w:val="0"/>
            <w:vAlign w:val="center"/>
          </w:tcPr>
          <w:p>
            <w:pPr>
              <w:widowControl/>
              <w:spacing w:line="240" w:lineRule="auto"/>
              <w:rPr>
                <w:rFonts w:hint="eastAsia" w:ascii="宋体" w:hAnsi="宋体" w:cs="宋体"/>
                <w:bCs/>
                <w:color w:val="auto"/>
                <w:kern w:val="0"/>
                <w:sz w:val="21"/>
                <w:szCs w:val="21"/>
              </w:rPr>
            </w:pPr>
          </w:p>
        </w:tc>
        <w:tc>
          <w:tcPr>
            <w:tcW w:w="82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56"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86" w:type="dxa"/>
            <w:noWrap w:val="0"/>
            <w:vAlign w:val="center"/>
          </w:tcPr>
          <w:p>
            <w:pPr>
              <w:widowControl/>
              <w:spacing w:line="240" w:lineRule="auto"/>
              <w:jc w:val="center"/>
              <w:rPr>
                <w:rFonts w:ascii="宋体" w:hAnsi="宋体" w:cs="宋体"/>
                <w:color w:val="auto"/>
                <w:kern w:val="0"/>
                <w:sz w:val="21"/>
                <w:szCs w:val="21"/>
              </w:rPr>
            </w:pPr>
          </w:p>
        </w:tc>
        <w:tc>
          <w:tcPr>
            <w:tcW w:w="82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5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18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可释放二氧化碳及模仿人体气味的引诱剂吸引蚊虫</w:t>
            </w:r>
          </w:p>
        </w:tc>
        <w:tc>
          <w:tcPr>
            <w:tcW w:w="827"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18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充电电池、充电宝、交流电供电</w:t>
            </w:r>
          </w:p>
        </w:tc>
        <w:tc>
          <w:tcPr>
            <w:tcW w:w="827"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186"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配置收集装置，可防蚊虫逃逸</w:t>
            </w:r>
          </w:p>
        </w:tc>
        <w:tc>
          <w:tcPr>
            <w:tcW w:w="827"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1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186"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186"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1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1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1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1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186"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156"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518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15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8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1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5186"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2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1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518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2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8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8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20.</w:t>
      </w:r>
      <w:r>
        <w:rPr>
          <w:rFonts w:hint="eastAsia" w:ascii="方正小标宋简体" w:hAnsi="宋体" w:eastAsia="方正小标宋简体" w:cs="宋体"/>
          <w:bCs/>
          <w:color w:val="auto"/>
          <w:kern w:val="0"/>
          <w:sz w:val="44"/>
          <w:szCs w:val="44"/>
        </w:rPr>
        <w:t>虫媒监测工具4-引诱剂捕蚊器</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75"/>
        <w:gridCol w:w="5194"/>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7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9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7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94" w:type="dxa"/>
            <w:noWrap w:val="0"/>
            <w:vAlign w:val="center"/>
          </w:tcPr>
          <w:p>
            <w:pPr>
              <w:widowControl/>
              <w:spacing w:line="240" w:lineRule="auto"/>
              <w:jc w:val="center"/>
              <w:rPr>
                <w:rFonts w:ascii="宋体" w:hAnsi="宋体" w:cs="宋体"/>
                <w:b/>
                <w:bCs/>
                <w:color w:val="auto"/>
                <w:kern w:val="0"/>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7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94" w:type="dxa"/>
            <w:noWrap w:val="0"/>
            <w:vAlign w:val="center"/>
          </w:tcPr>
          <w:p>
            <w:pPr>
              <w:widowControl/>
              <w:spacing w:line="240" w:lineRule="auto"/>
              <w:jc w:val="left"/>
              <w:rPr>
                <w:rFonts w:ascii="宋体" w:hAnsi="宋体" w:cs="宋体"/>
                <w:bCs/>
                <w:color w:val="auto"/>
                <w:kern w:val="0"/>
                <w:sz w:val="21"/>
                <w:szCs w:val="21"/>
              </w:rPr>
            </w:pPr>
            <w:r>
              <w:rPr>
                <w:rFonts w:ascii="宋体" w:hAnsi="宋体" w:cs="宋体"/>
                <w:bCs/>
                <w:color w:val="auto"/>
                <w:kern w:val="0"/>
                <w:sz w:val="21"/>
                <w:szCs w:val="21"/>
              </w:rPr>
              <w:t>引诱剂</w:t>
            </w:r>
            <w:r>
              <w:rPr>
                <w:rFonts w:hint="eastAsia" w:ascii="宋体" w:hAnsi="宋体" w:cs="宋体"/>
                <w:bCs/>
                <w:color w:val="auto"/>
                <w:kern w:val="0"/>
                <w:sz w:val="21"/>
                <w:szCs w:val="21"/>
              </w:rPr>
              <w:t>诱捕蚊虫</w:t>
            </w: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75"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94"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蚊虫</w:t>
            </w:r>
          </w:p>
        </w:tc>
        <w:tc>
          <w:tcPr>
            <w:tcW w:w="91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7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94" w:type="dxa"/>
            <w:noWrap w:val="0"/>
            <w:vAlign w:val="center"/>
          </w:tcPr>
          <w:p>
            <w:pPr>
              <w:widowControl/>
              <w:spacing w:line="240" w:lineRule="auto"/>
              <w:rPr>
                <w:rFonts w:hint="eastAsia" w:ascii="宋体" w:hAnsi="宋体" w:cs="宋体"/>
                <w:bCs/>
                <w:color w:val="auto"/>
                <w:kern w:val="0"/>
                <w:sz w:val="21"/>
                <w:szCs w:val="21"/>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7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94" w:type="dxa"/>
            <w:noWrap w:val="0"/>
            <w:vAlign w:val="center"/>
          </w:tcPr>
          <w:p>
            <w:pPr>
              <w:widowControl/>
              <w:spacing w:line="240" w:lineRule="auto"/>
              <w:jc w:val="center"/>
              <w:rPr>
                <w:rFonts w:ascii="宋体" w:hAnsi="宋体" w:cs="宋体"/>
                <w:color w:val="auto"/>
                <w:kern w:val="0"/>
                <w:sz w:val="21"/>
                <w:szCs w:val="21"/>
              </w:rPr>
            </w:pP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6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37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19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可释放模仿人体气味的引诱剂吸引蚊虫</w:t>
            </w:r>
          </w:p>
        </w:tc>
        <w:tc>
          <w:tcPr>
            <w:tcW w:w="91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19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充电电池、充电宝、交流电供电</w:t>
            </w:r>
          </w:p>
        </w:tc>
        <w:tc>
          <w:tcPr>
            <w:tcW w:w="91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519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配置收集装置，可防蚊虫逃逸</w:t>
            </w:r>
          </w:p>
        </w:tc>
        <w:tc>
          <w:tcPr>
            <w:tcW w:w="91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6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19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194"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194"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19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19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19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19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5194"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37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519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37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9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37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5194"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1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37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519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1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7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黑体" w:eastAsia="方正小标宋简体" w:cs="宋体"/>
          <w:bCs/>
          <w:color w:val="auto"/>
          <w:kern w:val="0"/>
          <w:sz w:val="44"/>
          <w:szCs w:val="44"/>
          <w:lang w:eastAsia="zh-CN"/>
        </w:rPr>
      </w:pPr>
      <w:r>
        <w:rPr>
          <w:rFonts w:hint="eastAsia" w:ascii="方正小标宋简体" w:hAnsi="黑体" w:eastAsia="方正小标宋简体" w:cs="宋体"/>
          <w:bCs/>
          <w:color w:val="auto"/>
          <w:kern w:val="0"/>
          <w:sz w:val="44"/>
          <w:szCs w:val="44"/>
          <w:lang w:val="en-US" w:eastAsia="zh-CN"/>
        </w:rPr>
        <w:t>21.</w:t>
      </w:r>
      <w:r>
        <w:rPr>
          <w:rFonts w:hint="eastAsia" w:ascii="方正小标宋简体" w:hAnsi="黑体" w:eastAsia="方正小标宋简体" w:cs="宋体"/>
          <w:bCs/>
          <w:color w:val="auto"/>
          <w:kern w:val="0"/>
          <w:sz w:val="44"/>
          <w:szCs w:val="44"/>
        </w:rPr>
        <w:t>虫媒监测工具5-体式显微镜</w:t>
      </w:r>
      <w:r>
        <w:rPr>
          <w:rFonts w:hint="eastAsia" w:ascii="方正小标宋简体" w:hAnsi="黑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44"/>
        <w:gridCol w:w="516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69" w:type="dxa"/>
            <w:noWrap w:val="0"/>
            <w:vAlign w:val="center"/>
          </w:tcPr>
          <w:p>
            <w:pPr>
              <w:widowControl/>
              <w:spacing w:line="240" w:lineRule="auto"/>
              <w:jc w:val="center"/>
              <w:rPr>
                <w:rFonts w:ascii="宋体" w:hAnsi="宋体" w:cs="宋体"/>
                <w:b/>
                <w:bCs/>
                <w:color w:val="auto"/>
                <w:kern w:val="0"/>
              </w:rPr>
            </w:pP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6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观察动物器官结构</w:t>
            </w: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69" w:type="dxa"/>
            <w:shd w:val="clear" w:color="000000" w:fill="auto"/>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用于蚊虫解刨及卵细胞实验</w:t>
            </w:r>
          </w:p>
        </w:tc>
        <w:tc>
          <w:tcPr>
            <w:tcW w:w="8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69" w:type="dxa"/>
            <w:noWrap w:val="0"/>
            <w:vAlign w:val="center"/>
          </w:tcPr>
          <w:p>
            <w:pPr>
              <w:widowControl/>
              <w:spacing w:line="240" w:lineRule="auto"/>
              <w:jc w:val="left"/>
              <w:rPr>
                <w:rFonts w:ascii="宋体" w:hAnsi="宋体" w:cs="宋体"/>
                <w:bCs/>
                <w:color w:val="auto"/>
                <w:kern w:val="0"/>
                <w:sz w:val="21"/>
                <w:szCs w:val="21"/>
              </w:rPr>
            </w:pP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69" w:type="dxa"/>
            <w:noWrap w:val="0"/>
            <w:vAlign w:val="center"/>
          </w:tcPr>
          <w:p>
            <w:pPr>
              <w:widowControl/>
              <w:spacing w:line="240" w:lineRule="auto"/>
              <w:jc w:val="center"/>
              <w:rPr>
                <w:rFonts w:ascii="宋体" w:hAnsi="宋体" w:cs="宋体"/>
                <w:color w:val="auto"/>
                <w:kern w:val="0"/>
                <w:sz w:val="21"/>
                <w:szCs w:val="21"/>
              </w:rPr>
            </w:pP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76" w:type="dxa"/>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2.1</w:t>
            </w:r>
          </w:p>
        </w:tc>
        <w:tc>
          <w:tcPr>
            <w:tcW w:w="2144" w:type="dxa"/>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★参数1</w:t>
            </w:r>
          </w:p>
        </w:tc>
        <w:tc>
          <w:tcPr>
            <w:tcW w:w="5169" w:type="dxa"/>
            <w:noWrap w:val="0"/>
            <w:vAlign w:val="center"/>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变倍：0.</w:t>
            </w:r>
            <w:r>
              <w:rPr>
                <w:rFonts w:ascii="宋体" w:hAnsi="宋体" w:cs="宋体"/>
                <w:color w:val="auto"/>
                <w:kern w:val="0"/>
                <w:sz w:val="21"/>
                <w:szCs w:val="21"/>
              </w:rPr>
              <w:t>67</w:t>
            </w:r>
            <w:r>
              <w:rPr>
                <w:rFonts w:hint="eastAsia" w:ascii="宋体" w:hAnsi="宋体" w:cs="宋体"/>
                <w:color w:val="auto"/>
                <w:kern w:val="0"/>
                <w:sz w:val="21"/>
                <w:szCs w:val="21"/>
              </w:rPr>
              <w:t xml:space="preserve"> - 4</w:t>
            </w:r>
            <w:r>
              <w:rPr>
                <w:rFonts w:ascii="宋体" w:hAnsi="宋体" w:cs="宋体"/>
                <w:color w:val="auto"/>
                <w:kern w:val="0"/>
                <w:sz w:val="21"/>
                <w:szCs w:val="21"/>
              </w:rPr>
              <w:t>5</w:t>
            </w:r>
            <w:r>
              <w:rPr>
                <w:rFonts w:hint="eastAsia" w:ascii="宋体" w:hAnsi="宋体" w:cs="宋体"/>
                <w:color w:val="auto"/>
                <w:kern w:val="0"/>
                <w:sz w:val="21"/>
                <w:szCs w:val="21"/>
              </w:rPr>
              <w:t>X连续变倍，变倍比1：6.7</w:t>
            </w:r>
          </w:p>
        </w:tc>
        <w:tc>
          <w:tcPr>
            <w:tcW w:w="8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2.2</w:t>
            </w:r>
          </w:p>
        </w:tc>
        <w:tc>
          <w:tcPr>
            <w:tcW w:w="2144"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★参数2</w:t>
            </w:r>
          </w:p>
        </w:tc>
        <w:tc>
          <w:tcPr>
            <w:tcW w:w="51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三目观察筒：视场数为22，瞳距调节范围为52-76mm</w:t>
            </w:r>
          </w:p>
        </w:tc>
        <w:tc>
          <w:tcPr>
            <w:tcW w:w="8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2.3</w:t>
            </w:r>
          </w:p>
        </w:tc>
        <w:tc>
          <w:tcPr>
            <w:tcW w:w="2144"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参数3</w:t>
            </w:r>
          </w:p>
        </w:tc>
        <w:tc>
          <w:tcPr>
            <w:tcW w:w="51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照明方式：</w:t>
            </w:r>
            <w:r>
              <w:rPr>
                <w:rFonts w:ascii="宋体" w:hAnsi="宋体" w:cs="宋体"/>
                <w:color w:val="auto"/>
                <w:kern w:val="0"/>
                <w:sz w:val="21"/>
                <w:szCs w:val="21"/>
              </w:rPr>
              <w:t>LED</w:t>
            </w:r>
            <w:r>
              <w:rPr>
                <w:rFonts w:hint="eastAsia" w:ascii="宋体" w:hAnsi="宋体" w:cs="宋体"/>
                <w:color w:val="auto"/>
                <w:kern w:val="0"/>
                <w:sz w:val="21"/>
                <w:szCs w:val="21"/>
              </w:rPr>
              <w:t>透射光照明，反射光照明</w:t>
            </w:r>
          </w:p>
        </w:tc>
        <w:tc>
          <w:tcPr>
            <w:tcW w:w="856"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2.4</w:t>
            </w:r>
          </w:p>
        </w:tc>
        <w:tc>
          <w:tcPr>
            <w:tcW w:w="2144"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参数4</w:t>
            </w:r>
          </w:p>
        </w:tc>
        <w:tc>
          <w:tcPr>
            <w:tcW w:w="5169" w:type="dxa"/>
            <w:noWrap w:val="0"/>
            <w:vAlign w:val="center"/>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所采用光学元件均为环保无铅玻璃，有</w:t>
            </w:r>
            <w:r>
              <w:rPr>
                <w:rFonts w:ascii="宋体" w:hAnsi="宋体" w:cs="宋体"/>
                <w:color w:val="auto"/>
                <w:kern w:val="0"/>
                <w:sz w:val="21"/>
                <w:szCs w:val="21"/>
              </w:rPr>
              <w:t>ECO无铅认证</w:t>
            </w:r>
          </w:p>
        </w:tc>
        <w:tc>
          <w:tcPr>
            <w:tcW w:w="8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2.5</w:t>
            </w:r>
          </w:p>
        </w:tc>
        <w:tc>
          <w:tcPr>
            <w:tcW w:w="2144"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参数5</w:t>
            </w:r>
          </w:p>
        </w:tc>
        <w:tc>
          <w:tcPr>
            <w:tcW w:w="51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放大倍率：6.7 - 45倍</w:t>
            </w:r>
          </w:p>
        </w:tc>
        <w:tc>
          <w:tcPr>
            <w:tcW w:w="856" w:type="dxa"/>
            <w:noWrap w:val="0"/>
            <w:vAlign w:val="center"/>
          </w:tcPr>
          <w:p>
            <w:pPr>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2.6</w:t>
            </w:r>
          </w:p>
        </w:tc>
        <w:tc>
          <w:tcPr>
            <w:tcW w:w="2144"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1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工作距离：110mm</w:t>
            </w:r>
          </w:p>
        </w:tc>
        <w:tc>
          <w:tcPr>
            <w:tcW w:w="856" w:type="dxa"/>
            <w:noWrap w:val="0"/>
            <w:vAlign w:val="center"/>
          </w:tcPr>
          <w:p>
            <w:pPr>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1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1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ascii="宋体" w:hAnsi="宋体" w:cs="宋体"/>
                <w:color w:val="auto"/>
                <w:kern w:val="0"/>
                <w:sz w:val="21"/>
                <w:szCs w:val="21"/>
              </w:rPr>
              <w:t>3.1</w:t>
            </w:r>
          </w:p>
        </w:tc>
        <w:tc>
          <w:tcPr>
            <w:tcW w:w="2144" w:type="dxa"/>
            <w:noWrap w:val="0"/>
            <w:vAlign w:val="center"/>
          </w:tcPr>
          <w:p>
            <w:pPr>
              <w:spacing w:line="240" w:lineRule="auto"/>
              <w:jc w:val="left"/>
              <w:rPr>
                <w:rFonts w:ascii="宋体" w:hAnsi="宋体" w:cs="宋体"/>
                <w:color w:val="auto"/>
                <w:kern w:val="0"/>
                <w:sz w:val="21"/>
                <w:szCs w:val="21"/>
              </w:rPr>
            </w:pPr>
            <w:r>
              <w:rPr>
                <w:rFonts w:ascii="宋体" w:hAnsi="宋体" w:cs="宋体"/>
                <w:color w:val="auto"/>
                <w:kern w:val="0"/>
                <w:sz w:val="21"/>
                <w:szCs w:val="21"/>
              </w:rPr>
              <w:t>配置1</w:t>
            </w:r>
          </w:p>
        </w:tc>
        <w:tc>
          <w:tcPr>
            <w:tcW w:w="5169" w:type="dxa"/>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体式显微镜主机              1套</w:t>
            </w: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3.2</w:t>
            </w:r>
          </w:p>
        </w:tc>
        <w:tc>
          <w:tcPr>
            <w:tcW w:w="2144" w:type="dxa"/>
            <w:noWrap w:val="0"/>
            <w:vAlign w:val="center"/>
          </w:tcPr>
          <w:p>
            <w:pPr>
              <w:spacing w:line="240" w:lineRule="auto"/>
              <w:jc w:val="left"/>
              <w:rPr>
                <w:rFonts w:hint="eastAsia" w:ascii="宋体" w:hAnsi="宋体" w:cs="宋体"/>
                <w:color w:val="auto"/>
                <w:kern w:val="0"/>
                <w:sz w:val="21"/>
                <w:szCs w:val="21"/>
              </w:rPr>
            </w:pPr>
            <w:r>
              <w:rPr>
                <w:rFonts w:ascii="宋体" w:hAnsi="宋体" w:cs="宋体"/>
                <w:color w:val="auto"/>
                <w:kern w:val="0"/>
                <w:sz w:val="21"/>
                <w:szCs w:val="21"/>
              </w:rPr>
              <w:t>配置2</w:t>
            </w:r>
          </w:p>
        </w:tc>
        <w:tc>
          <w:tcPr>
            <w:tcW w:w="5169" w:type="dxa"/>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LED落射/透射照明系统       1套</w:t>
            </w:r>
          </w:p>
        </w:tc>
        <w:tc>
          <w:tcPr>
            <w:tcW w:w="8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w:t>
            </w:r>
            <w:r>
              <w:rPr>
                <w:rFonts w:hint="eastAsia" w:ascii="宋体" w:hAnsi="宋体" w:cs="宋体"/>
                <w:color w:val="auto"/>
                <w:kern w:val="0"/>
                <w:sz w:val="21"/>
                <w:szCs w:val="21"/>
              </w:rPr>
              <w:t>6</w:t>
            </w:r>
          </w:p>
        </w:tc>
        <w:tc>
          <w:tcPr>
            <w:tcW w:w="2144" w:type="dxa"/>
            <w:noWrap w:val="0"/>
            <w:vAlign w:val="center"/>
          </w:tcPr>
          <w:p>
            <w:pPr>
              <w:spacing w:line="240" w:lineRule="auto"/>
              <w:jc w:val="left"/>
              <w:rPr>
                <w:rFonts w:hint="eastAsia" w:ascii="宋体" w:hAnsi="宋体" w:cs="宋体"/>
                <w:color w:val="auto"/>
                <w:kern w:val="0"/>
                <w:sz w:val="21"/>
                <w:szCs w:val="21"/>
              </w:rPr>
            </w:pPr>
            <w:r>
              <w:rPr>
                <w:rFonts w:ascii="宋体" w:hAnsi="宋体" w:cs="宋体"/>
                <w:color w:val="auto"/>
                <w:kern w:val="0"/>
                <w:sz w:val="21"/>
                <w:szCs w:val="21"/>
              </w:rPr>
              <w:t>配置</w:t>
            </w:r>
            <w:r>
              <w:rPr>
                <w:rFonts w:hint="eastAsia" w:ascii="宋体" w:hAnsi="宋体" w:cs="宋体"/>
                <w:color w:val="auto"/>
                <w:kern w:val="0"/>
                <w:sz w:val="21"/>
                <w:szCs w:val="21"/>
              </w:rPr>
              <w:t>6</w:t>
            </w:r>
          </w:p>
        </w:tc>
        <w:tc>
          <w:tcPr>
            <w:tcW w:w="5169" w:type="dxa"/>
            <w:noWrap w:val="0"/>
            <w:vAlign w:val="center"/>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品牌电脑</w:t>
            </w:r>
          </w:p>
        </w:tc>
        <w:tc>
          <w:tcPr>
            <w:tcW w:w="8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1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1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8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保修年限</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rPr>
              <w:t>海外安装,海外维保≥3年</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4.2</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出现故障响应时间</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4.3</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维修支持</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配件供应时间≥10年</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4.4</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耗材及零配件</w:t>
            </w:r>
          </w:p>
        </w:tc>
        <w:tc>
          <w:tcPr>
            <w:tcW w:w="5169" w:type="dxa"/>
            <w:noWrap w:val="0"/>
            <w:vAlign w:val="center"/>
          </w:tcPr>
          <w:p>
            <w:pPr>
              <w:jc w:val="center"/>
              <w:rPr>
                <w:rFonts w:hint="eastAsia" w:ascii="宋体" w:hAnsi="宋体" w:cs="宋体"/>
                <w:color w:val="auto"/>
                <w:kern w:val="0"/>
                <w:sz w:val="21"/>
                <w:szCs w:val="21"/>
              </w:rPr>
            </w:pPr>
            <w:r>
              <w:rPr>
                <w:rFonts w:hint="eastAsia" w:ascii="宋体" w:hAnsi="宋体" w:cs="宋体"/>
                <w:color w:val="auto"/>
                <w:kern w:val="0"/>
                <w:sz w:val="21"/>
                <w:szCs w:val="21"/>
              </w:rPr>
              <w:t>提供耗材及主要零配件目录（含报价）</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维修资料</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提供详细操作手册、维修保养手册、安装手册等</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4.6</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维修工具</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提供维修专用工具1套</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4.7</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预防性维修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/定期维护保养</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保修期内提供定期维护保养服务</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4.8</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维修密码支持</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开放</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4.9</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升级</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终身免费软件升级</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4.10</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使用培训</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4.11</w:t>
            </w:r>
          </w:p>
        </w:tc>
        <w:tc>
          <w:tcPr>
            <w:tcW w:w="21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工程师培训</w:t>
            </w:r>
          </w:p>
        </w:tc>
        <w:tc>
          <w:tcPr>
            <w:tcW w:w="51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bl>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22.</w:t>
      </w:r>
      <w:r>
        <w:rPr>
          <w:rFonts w:hint="eastAsia" w:ascii="方正小标宋简体" w:hAnsi="宋体" w:eastAsia="方正小标宋简体" w:cs="宋体"/>
          <w:bCs/>
          <w:color w:val="auto"/>
          <w:kern w:val="0"/>
          <w:sz w:val="44"/>
          <w:szCs w:val="44"/>
        </w:rPr>
        <w:t>深低温冰箱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14"/>
        <w:gridCol w:w="5682"/>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1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68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7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2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1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682" w:type="dxa"/>
            <w:noWrap w:val="0"/>
            <w:vAlign w:val="center"/>
          </w:tcPr>
          <w:p>
            <w:pPr>
              <w:widowControl/>
              <w:spacing w:line="240" w:lineRule="auto"/>
              <w:jc w:val="center"/>
              <w:rPr>
                <w:rFonts w:ascii="宋体" w:hAnsi="宋体" w:cs="宋体"/>
                <w:b/>
                <w:bCs/>
                <w:color w:val="auto"/>
                <w:kern w:val="0"/>
              </w:rPr>
            </w:pPr>
          </w:p>
        </w:tc>
        <w:tc>
          <w:tcPr>
            <w:tcW w:w="72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1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682"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用于冷冻冰排、储存血浆、试剂及各种需要冷冻储存的物品。</w:t>
            </w:r>
          </w:p>
        </w:tc>
        <w:tc>
          <w:tcPr>
            <w:tcW w:w="72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0"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1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682"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729"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1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682" w:type="dxa"/>
            <w:noWrap w:val="0"/>
            <w:vAlign w:val="center"/>
          </w:tcPr>
          <w:p>
            <w:pPr>
              <w:widowControl/>
              <w:spacing w:line="240" w:lineRule="auto"/>
              <w:rPr>
                <w:rFonts w:ascii="宋体" w:hAnsi="宋体" w:cs="宋体"/>
                <w:bCs/>
                <w:color w:val="auto"/>
                <w:kern w:val="0"/>
                <w:sz w:val="21"/>
                <w:szCs w:val="21"/>
              </w:rPr>
            </w:pPr>
          </w:p>
        </w:tc>
        <w:tc>
          <w:tcPr>
            <w:tcW w:w="72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20"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1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682" w:type="dxa"/>
            <w:noWrap w:val="0"/>
            <w:vAlign w:val="center"/>
          </w:tcPr>
          <w:p>
            <w:pPr>
              <w:widowControl/>
              <w:spacing w:line="240" w:lineRule="auto"/>
              <w:jc w:val="center"/>
              <w:rPr>
                <w:rFonts w:ascii="宋体" w:hAnsi="宋体" w:cs="宋体"/>
                <w:color w:val="auto"/>
                <w:kern w:val="0"/>
                <w:sz w:val="21"/>
                <w:szCs w:val="21"/>
              </w:rPr>
            </w:pPr>
          </w:p>
        </w:tc>
        <w:tc>
          <w:tcPr>
            <w:tcW w:w="72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1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有效容积≥860升，可存放2英寸标准冻存盒≥600个。</w:t>
            </w:r>
          </w:p>
        </w:tc>
        <w:tc>
          <w:tcPr>
            <w:tcW w:w="72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682" w:type="dxa"/>
            <w:noWrap w:val="0"/>
            <w:vAlign w:val="center"/>
          </w:tcPr>
          <w:p>
            <w:pPr>
              <w:spacing w:line="240" w:lineRule="auto"/>
              <w:rPr>
                <w:rFonts w:hint="eastAsia"/>
                <w:color w:val="auto"/>
                <w:sz w:val="21"/>
                <w:szCs w:val="21"/>
              </w:rPr>
            </w:pPr>
            <w:r>
              <w:rPr>
                <w:rFonts w:hint="eastAsia"/>
                <w:color w:val="auto"/>
                <w:sz w:val="21"/>
                <w:szCs w:val="21"/>
              </w:rPr>
              <w:t>温度范围在-40℃～-86℃范围内任意设定。</w:t>
            </w:r>
          </w:p>
        </w:tc>
        <w:tc>
          <w:tcPr>
            <w:tcW w:w="72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2.3</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采用变频压缩机， EBM风机，冷凝风机及压缩机散热风机可根据压缩机运行状态、环境温度智能开停。</w:t>
            </w:r>
          </w:p>
        </w:tc>
        <w:tc>
          <w:tcPr>
            <w:tcW w:w="72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682" w:type="dxa"/>
            <w:noWrap w:val="0"/>
            <w:vAlign w:val="center"/>
          </w:tcPr>
          <w:p>
            <w:pPr>
              <w:spacing w:line="240" w:lineRule="auto"/>
              <w:rPr>
                <w:rFonts w:hint="eastAsia"/>
                <w:color w:val="auto"/>
                <w:sz w:val="21"/>
                <w:szCs w:val="21"/>
              </w:rPr>
            </w:pPr>
            <w:r>
              <w:rPr>
                <w:rFonts w:hint="eastAsia"/>
                <w:color w:val="auto"/>
                <w:sz w:val="21"/>
                <w:szCs w:val="21"/>
              </w:rPr>
              <w:t>采用双制冷单元，制冷单元独立分开，单一制冷单元出现故障，另外一个制冷单元仍然可以维持箱内温度在-80℃稳定运行。</w:t>
            </w:r>
          </w:p>
        </w:tc>
        <w:tc>
          <w:tcPr>
            <w:tcW w:w="72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环温25℃，空载设定-80℃稳定运行，内外门开启1min关门，箱内温度从开门时降至-75℃时所需时间≤40min。</w:t>
            </w:r>
          </w:p>
        </w:tc>
        <w:tc>
          <w:tcPr>
            <w:tcW w:w="729" w:type="dxa"/>
            <w:noWrap w:val="0"/>
            <w:vAlign w:val="center"/>
          </w:tcPr>
          <w:p>
            <w:pPr>
              <w:widowControl/>
              <w:spacing w:line="240" w:lineRule="auto"/>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5682" w:type="dxa"/>
            <w:noWrap w:val="0"/>
            <w:vAlign w:val="center"/>
          </w:tcPr>
          <w:p>
            <w:pPr>
              <w:rPr>
                <w:rFonts w:ascii="宋体" w:hAnsi="宋体"/>
                <w:color w:val="auto"/>
                <w:sz w:val="21"/>
                <w:szCs w:val="21"/>
              </w:rPr>
            </w:pPr>
            <w:r>
              <w:rPr>
                <w:rFonts w:hint="eastAsia" w:ascii="宋体" w:hAnsi="宋体"/>
                <w:color w:val="auto"/>
                <w:sz w:val="21"/>
                <w:szCs w:val="21"/>
              </w:rPr>
              <w:t>环温2</w:t>
            </w:r>
            <w:r>
              <w:rPr>
                <w:rFonts w:ascii="宋体" w:hAnsi="宋体"/>
                <w:color w:val="auto"/>
                <w:sz w:val="21"/>
                <w:szCs w:val="21"/>
              </w:rPr>
              <w:t>5</w:t>
            </w:r>
            <w:r>
              <w:rPr>
                <w:rFonts w:hint="eastAsia" w:ascii="宋体" w:hAnsi="宋体"/>
                <w:color w:val="auto"/>
                <w:sz w:val="21"/>
                <w:szCs w:val="21"/>
              </w:rPr>
              <w:t>℃，冰箱空载断电从-</w:t>
            </w:r>
            <w:r>
              <w:rPr>
                <w:rFonts w:ascii="宋体" w:hAnsi="宋体"/>
                <w:color w:val="auto"/>
                <w:sz w:val="21"/>
                <w:szCs w:val="21"/>
              </w:rPr>
              <w:t>80</w:t>
            </w:r>
            <w:r>
              <w:rPr>
                <w:rFonts w:hint="eastAsia" w:ascii="宋体" w:hAnsi="宋体"/>
                <w:color w:val="auto"/>
                <w:sz w:val="21"/>
                <w:szCs w:val="21"/>
              </w:rPr>
              <w:t>℃回温至-</w:t>
            </w:r>
            <w:r>
              <w:rPr>
                <w:rFonts w:ascii="宋体" w:hAnsi="宋体"/>
                <w:color w:val="auto"/>
                <w:sz w:val="21"/>
                <w:szCs w:val="21"/>
              </w:rPr>
              <w:t>50</w:t>
            </w:r>
            <w:r>
              <w:rPr>
                <w:rFonts w:hint="eastAsia" w:ascii="宋体" w:hAnsi="宋体"/>
                <w:color w:val="auto"/>
                <w:sz w:val="21"/>
                <w:szCs w:val="21"/>
              </w:rPr>
              <w:t>℃的时间≥2</w:t>
            </w:r>
            <w:r>
              <w:rPr>
                <w:rFonts w:ascii="宋体" w:hAnsi="宋体"/>
                <w:color w:val="auto"/>
                <w:sz w:val="21"/>
                <w:szCs w:val="21"/>
              </w:rPr>
              <w:t>40</w:t>
            </w:r>
            <w:r>
              <w:rPr>
                <w:rFonts w:hint="eastAsia" w:ascii="宋体" w:hAnsi="宋体"/>
                <w:color w:val="auto"/>
                <w:sz w:val="21"/>
                <w:szCs w:val="21"/>
              </w:rPr>
              <w:t>min。</w:t>
            </w:r>
          </w:p>
        </w:tc>
        <w:tc>
          <w:tcPr>
            <w:tcW w:w="729" w:type="dxa"/>
            <w:noWrap w:val="0"/>
            <w:vAlign w:val="center"/>
          </w:tcPr>
          <w:p>
            <w:pPr>
              <w:widowControl/>
              <w:spacing w:line="240" w:lineRule="auto"/>
              <w:jc w:val="center"/>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故障声光报警系统，包含高低温、传感器故障、高环温、开门、电压异常、断电、冷凝器脏、电池电量低、系统故障等，确保运行安全。</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可设置电磁锁、IC刷卡解锁、指纹解锁功能。</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配置蓄电池，断电情况可为冰箱温度报警、USB端口持续供电。</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5682" w:type="dxa"/>
            <w:noWrap w:val="0"/>
            <w:vAlign w:val="center"/>
          </w:tcPr>
          <w:p>
            <w:pPr>
              <w:rPr>
                <w:rFonts w:hint="eastAsia" w:ascii="宋体" w:hAnsi="宋体"/>
                <w:color w:val="auto"/>
                <w:sz w:val="21"/>
                <w:szCs w:val="21"/>
              </w:rPr>
            </w:pPr>
            <w:r>
              <w:rPr>
                <w:rFonts w:hint="eastAsia" w:ascii="宋体" w:hAnsi="宋体"/>
                <w:color w:val="auto"/>
                <w:sz w:val="21"/>
                <w:szCs w:val="21"/>
              </w:rPr>
              <w:t>配置USB数据接口，可同步记录箱内实际温度、设定温度、高低温报警温度、输入电压、环境温度等数据10年以上。</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20"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11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68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682"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729"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1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68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冻存架</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2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11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68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7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6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6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32"/>
          <w:szCs w:val="32"/>
          <w:lang w:eastAsia="zh-CN"/>
        </w:rPr>
      </w:pPr>
      <w:r>
        <w:rPr>
          <w:rFonts w:hint="eastAsia" w:ascii="方正小标宋简体" w:hAnsi="宋体" w:eastAsia="方正小标宋简体" w:cs="宋体"/>
          <w:bCs/>
          <w:color w:val="auto"/>
          <w:kern w:val="0"/>
          <w:sz w:val="44"/>
          <w:szCs w:val="44"/>
          <w:lang w:val="en-US" w:eastAsia="zh-CN"/>
        </w:rPr>
        <w:t>23.</w:t>
      </w:r>
      <w:r>
        <w:rPr>
          <w:rFonts w:hint="eastAsia" w:ascii="方正小标宋简体" w:hAnsi="宋体" w:eastAsia="方正小标宋简体" w:cs="宋体"/>
          <w:bCs/>
          <w:color w:val="auto"/>
          <w:kern w:val="0"/>
          <w:sz w:val="44"/>
          <w:szCs w:val="44"/>
        </w:rPr>
        <w:t>低温水平离心机</w:t>
      </w:r>
      <w:r>
        <w:rPr>
          <w:rFonts w:hint="eastAsia" w:ascii="方正小标宋简体" w:hAnsi="宋体" w:eastAsia="方正小标宋简体" w:cs="宋体"/>
          <w:bCs/>
          <w:color w:val="auto"/>
          <w:kern w:val="0"/>
          <w:sz w:val="44"/>
          <w:szCs w:val="44"/>
          <w:lang w:eastAsia="zh-CN"/>
        </w:rPr>
        <w:t>技术要求</w:t>
      </w:r>
    </w:p>
    <w:tbl>
      <w:tblPr>
        <w:tblStyle w:val="20"/>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236"/>
        <w:gridCol w:w="5321"/>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序号</w:t>
            </w:r>
          </w:p>
        </w:tc>
        <w:tc>
          <w:tcPr>
            <w:tcW w:w="223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技术和性能参数名称</w:t>
            </w:r>
          </w:p>
        </w:tc>
        <w:tc>
          <w:tcPr>
            <w:tcW w:w="532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技术参数和性能要求</w:t>
            </w:r>
          </w:p>
        </w:tc>
        <w:tc>
          <w:tcPr>
            <w:tcW w:w="74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23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321" w:type="dxa"/>
            <w:noWrap w:val="0"/>
            <w:vAlign w:val="center"/>
          </w:tcPr>
          <w:p>
            <w:pPr>
              <w:widowControl/>
              <w:spacing w:line="240" w:lineRule="auto"/>
              <w:jc w:val="center"/>
              <w:rPr>
                <w:rFonts w:hint="eastAsia" w:ascii="宋体" w:hAnsi="宋体" w:cs="宋体"/>
                <w:b/>
                <w:bCs/>
                <w:color w:val="auto"/>
                <w:kern w:val="0"/>
              </w:rPr>
            </w:pPr>
          </w:p>
        </w:tc>
        <w:tc>
          <w:tcPr>
            <w:tcW w:w="74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设备用途</w:t>
            </w:r>
          </w:p>
        </w:tc>
        <w:tc>
          <w:tcPr>
            <w:tcW w:w="5321" w:type="dxa"/>
            <w:noWrap w:val="0"/>
            <w:vAlign w:val="center"/>
          </w:tcPr>
          <w:p>
            <w:pPr>
              <w:widowControl/>
              <w:spacing w:line="240" w:lineRule="auto"/>
              <w:rPr>
                <w:rFonts w:ascii="宋体" w:hAnsi="宋体" w:cs="宋体"/>
                <w:color w:val="auto"/>
                <w:kern w:val="0"/>
              </w:rPr>
            </w:pPr>
            <w:r>
              <w:rPr>
                <w:rFonts w:hint="eastAsia" w:ascii="宋体" w:hAnsi="宋体" w:cs="宋体"/>
                <w:color w:val="auto"/>
                <w:lang w:bidi="ar"/>
              </w:rPr>
              <w:t>主要用于生物样品高速低温离心</w:t>
            </w:r>
            <w:r>
              <w:rPr>
                <w:rFonts w:hint="eastAsia" w:ascii="宋体" w:hAnsi="宋体"/>
                <w:color w:val="auto"/>
              </w:rPr>
              <w:t>。</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2"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23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实验对象</w:t>
            </w:r>
          </w:p>
        </w:tc>
        <w:tc>
          <w:tcPr>
            <w:tcW w:w="5321" w:type="dxa"/>
            <w:shd w:val="clear" w:color="000000" w:fill="auto"/>
            <w:noWrap w:val="0"/>
            <w:vAlign w:val="center"/>
          </w:tcPr>
          <w:p>
            <w:pPr>
              <w:widowControl/>
              <w:spacing w:line="240" w:lineRule="auto"/>
              <w:rPr>
                <w:rFonts w:hint="eastAsia" w:ascii="宋体" w:hAnsi="宋体" w:cs="宋体"/>
                <w:color w:val="auto"/>
                <w:kern w:val="0"/>
              </w:rPr>
            </w:pPr>
            <w:r>
              <w:rPr>
                <w:rFonts w:hint="eastAsia" w:ascii="宋体" w:hAnsi="宋体" w:cs="宋体"/>
                <w:bCs/>
                <w:color w:val="auto"/>
                <w:kern w:val="0"/>
                <w:sz w:val="21"/>
                <w:szCs w:val="21"/>
              </w:rPr>
              <w:t>生物样品</w:t>
            </w:r>
          </w:p>
        </w:tc>
        <w:tc>
          <w:tcPr>
            <w:tcW w:w="748"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82"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1.3</w:t>
            </w:r>
          </w:p>
        </w:tc>
        <w:tc>
          <w:tcPr>
            <w:tcW w:w="2236"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特殊功能需求</w:t>
            </w:r>
          </w:p>
        </w:tc>
        <w:tc>
          <w:tcPr>
            <w:tcW w:w="5321" w:type="dxa"/>
            <w:noWrap w:val="0"/>
            <w:vAlign w:val="center"/>
          </w:tcPr>
          <w:p>
            <w:pPr>
              <w:widowControl/>
              <w:spacing w:line="240" w:lineRule="auto"/>
              <w:jc w:val="center"/>
              <w:rPr>
                <w:rFonts w:ascii="宋体" w:hAnsi="宋体" w:cs="宋体"/>
                <w:b/>
                <w:bCs/>
                <w:color w:val="auto"/>
                <w:kern w:val="0"/>
              </w:rPr>
            </w:pPr>
          </w:p>
        </w:tc>
        <w:tc>
          <w:tcPr>
            <w:tcW w:w="748" w:type="dxa"/>
            <w:noWrap w:val="0"/>
            <w:vAlign w:val="center"/>
          </w:tcPr>
          <w:p>
            <w:pPr>
              <w:widowControl/>
              <w:spacing w:line="240" w:lineRule="auto"/>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82"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23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★参数1</w:t>
            </w:r>
          </w:p>
        </w:tc>
        <w:tc>
          <w:tcPr>
            <w:tcW w:w="5321" w:type="dxa"/>
            <w:noWrap w:val="0"/>
            <w:vAlign w:val="center"/>
          </w:tcPr>
          <w:p>
            <w:pPr>
              <w:pStyle w:val="49"/>
              <w:spacing w:line="276"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转子和适配器可以整体高压灭菌</w:t>
            </w:r>
          </w:p>
        </w:tc>
        <w:tc>
          <w:tcPr>
            <w:tcW w:w="748" w:type="dxa"/>
            <w:noWrap w:val="0"/>
            <w:vAlign w:val="center"/>
          </w:tcPr>
          <w:p>
            <w:pPr>
              <w:widowControl/>
              <w:spacing w:line="240" w:lineRule="auto"/>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2</w:t>
            </w:r>
          </w:p>
        </w:tc>
        <w:tc>
          <w:tcPr>
            <w:tcW w:w="223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★参数2</w:t>
            </w:r>
          </w:p>
        </w:tc>
        <w:tc>
          <w:tcPr>
            <w:tcW w:w="5321" w:type="dxa"/>
            <w:noWrap w:val="0"/>
            <w:vAlign w:val="center"/>
          </w:tcPr>
          <w:p>
            <w:pPr>
              <w:pStyle w:val="49"/>
              <w:spacing w:line="276"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内置排水系统</w:t>
            </w:r>
          </w:p>
        </w:tc>
        <w:tc>
          <w:tcPr>
            <w:tcW w:w="748"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236" w:type="dxa"/>
            <w:noWrap w:val="0"/>
            <w:vAlign w:val="center"/>
          </w:tcPr>
          <w:p>
            <w:pPr>
              <w:widowControl/>
              <w:spacing w:line="240" w:lineRule="auto"/>
              <w:jc w:val="center"/>
              <w:rPr>
                <w:rFonts w:hint="eastAsia" w:ascii="宋体" w:hAnsi="宋体" w:cs="宋体"/>
                <w:color w:val="auto"/>
                <w:kern w:val="0"/>
              </w:rPr>
            </w:pPr>
            <w:r>
              <w:rPr>
                <w:rFonts w:hint="eastAsia" w:ascii="宋体" w:hAnsi="宋体"/>
                <w:color w:val="auto"/>
                <w:kern w:val="0"/>
                <w:lang w:val="zh-CN"/>
              </w:rPr>
              <w:t>▲</w:t>
            </w:r>
            <w:r>
              <w:rPr>
                <w:rFonts w:hint="eastAsia" w:ascii="宋体" w:hAnsi="宋体" w:cs="宋体"/>
                <w:color w:val="auto"/>
                <w:kern w:val="0"/>
              </w:rPr>
              <w:t>参数3</w:t>
            </w:r>
          </w:p>
        </w:tc>
        <w:tc>
          <w:tcPr>
            <w:tcW w:w="5321" w:type="dxa"/>
            <w:noWrap w:val="0"/>
            <w:vAlign w:val="center"/>
          </w:tcPr>
          <w:p>
            <w:pPr>
              <w:widowControl/>
              <w:spacing w:line="240" w:lineRule="auto"/>
              <w:jc w:val="left"/>
              <w:rPr>
                <w:rFonts w:hint="eastAsia" w:ascii="宋体" w:hAnsi="宋体"/>
                <w:color w:val="auto"/>
              </w:rPr>
            </w:pPr>
            <w:r>
              <w:rPr>
                <w:rFonts w:hint="eastAsia" w:ascii="宋体" w:hAnsi="宋体"/>
                <w:color w:val="auto"/>
              </w:rPr>
              <w:t>转子的气密性经应用微生物研究中心(CAMR)测试并认证</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236" w:type="dxa"/>
            <w:noWrap w:val="0"/>
            <w:vAlign w:val="center"/>
          </w:tcPr>
          <w:p>
            <w:pPr>
              <w:widowControl/>
              <w:spacing w:line="240" w:lineRule="auto"/>
              <w:jc w:val="center"/>
              <w:rPr>
                <w:rFonts w:hint="eastAsia" w:ascii="宋体" w:hAnsi="宋体" w:cs="宋体"/>
                <w:color w:val="auto"/>
                <w:kern w:val="0"/>
              </w:rPr>
            </w:pPr>
            <w:bookmarkStart w:id="27" w:name="_Hlk536390667"/>
            <w:r>
              <w:rPr>
                <w:rFonts w:hint="eastAsia" w:ascii="宋体" w:hAnsi="宋体"/>
                <w:color w:val="auto"/>
                <w:kern w:val="0"/>
                <w:lang w:val="zh-CN"/>
              </w:rPr>
              <w:t>▲</w:t>
            </w:r>
            <w:r>
              <w:rPr>
                <w:rFonts w:hint="eastAsia" w:ascii="宋体" w:hAnsi="宋体" w:cs="宋体"/>
                <w:color w:val="auto"/>
                <w:kern w:val="0"/>
              </w:rPr>
              <w:t>参数4</w:t>
            </w:r>
            <w:bookmarkEnd w:id="27"/>
          </w:p>
        </w:tc>
        <w:tc>
          <w:tcPr>
            <w:tcW w:w="5321" w:type="dxa"/>
            <w:noWrap w:val="0"/>
            <w:vAlign w:val="center"/>
          </w:tcPr>
          <w:p>
            <w:pPr>
              <w:widowControl/>
              <w:spacing w:line="240" w:lineRule="auto"/>
              <w:jc w:val="left"/>
              <w:rPr>
                <w:rFonts w:hint="eastAsia" w:ascii="宋体" w:hAnsi="宋体"/>
                <w:color w:val="auto"/>
              </w:rPr>
            </w:pPr>
            <w:r>
              <w:rPr>
                <w:rFonts w:hint="eastAsia" w:ascii="宋体" w:hAnsi="宋体"/>
                <w:color w:val="auto"/>
              </w:rPr>
              <w:t>转子为合金材质，确保转子内温度和离心机腔体温度一致；</w:t>
            </w:r>
          </w:p>
        </w:tc>
        <w:tc>
          <w:tcPr>
            <w:tcW w:w="748"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236" w:type="dxa"/>
            <w:noWrap w:val="0"/>
            <w:vAlign w:val="center"/>
          </w:tcPr>
          <w:p>
            <w:pPr>
              <w:jc w:val="center"/>
              <w:rPr>
                <w:rFonts w:ascii="宋体" w:hAnsi="宋体"/>
                <w:color w:val="auto"/>
              </w:rPr>
            </w:pPr>
            <w:r>
              <w:rPr>
                <w:rFonts w:hint="eastAsia" w:ascii="宋体" w:hAnsi="宋体"/>
                <w:color w:val="auto"/>
                <w:kern w:val="0"/>
                <w:lang w:val="zh-CN"/>
              </w:rPr>
              <w:t>▲</w:t>
            </w:r>
            <w:r>
              <w:rPr>
                <w:rFonts w:hint="eastAsia" w:ascii="宋体" w:hAnsi="宋体" w:cs="宋体"/>
                <w:color w:val="auto"/>
                <w:kern w:val="0"/>
              </w:rPr>
              <w:t>参数5</w:t>
            </w:r>
          </w:p>
        </w:tc>
        <w:tc>
          <w:tcPr>
            <w:tcW w:w="5321" w:type="dxa"/>
            <w:noWrap w:val="0"/>
            <w:vAlign w:val="center"/>
          </w:tcPr>
          <w:p>
            <w:pPr>
              <w:pStyle w:val="49"/>
              <w:spacing w:line="276" w:lineRule="auto"/>
              <w:ind w:firstLine="0" w:firstLineChars="0"/>
              <w:rPr>
                <w:rFonts w:hint="eastAsia" w:ascii="宋体" w:hAnsi="宋体" w:eastAsia="宋体"/>
                <w:color w:val="auto"/>
                <w:sz w:val="24"/>
                <w:szCs w:val="24"/>
              </w:rPr>
            </w:pPr>
            <w:r>
              <w:rPr>
                <w:rFonts w:hint="eastAsia" w:ascii="宋体" w:hAnsi="宋体" w:eastAsia="宋体"/>
                <w:color w:val="auto"/>
                <w:szCs w:val="21"/>
              </w:rPr>
              <w:t xml:space="preserve">转子的刹车时间≤1分钟； </w:t>
            </w:r>
          </w:p>
        </w:tc>
        <w:tc>
          <w:tcPr>
            <w:tcW w:w="748"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236" w:type="dxa"/>
            <w:noWrap w:val="0"/>
            <w:vAlign w:val="center"/>
          </w:tcPr>
          <w:p>
            <w:pPr>
              <w:jc w:val="center"/>
              <w:rPr>
                <w:rFonts w:ascii="宋体" w:hAnsi="宋体"/>
                <w:color w:val="auto"/>
              </w:rPr>
            </w:pPr>
            <w:r>
              <w:rPr>
                <w:rFonts w:hint="eastAsia" w:ascii="宋体" w:hAnsi="宋体" w:cs="宋体"/>
                <w:color w:val="auto"/>
                <w:kern w:val="0"/>
              </w:rPr>
              <w:t>参数6</w:t>
            </w:r>
          </w:p>
        </w:tc>
        <w:tc>
          <w:tcPr>
            <w:tcW w:w="5321" w:type="dxa"/>
            <w:noWrap w:val="0"/>
            <w:vAlign w:val="center"/>
          </w:tcPr>
          <w:p>
            <w:pPr>
              <w:pStyle w:val="49"/>
              <w:spacing w:line="276" w:lineRule="auto"/>
              <w:ind w:firstLine="0" w:firstLineChars="0"/>
              <w:rPr>
                <w:rFonts w:ascii="宋体" w:hAnsi="宋体" w:eastAsia="宋体" w:cs="Arial"/>
                <w:color w:val="auto"/>
                <w:sz w:val="24"/>
                <w:szCs w:val="24"/>
                <w:lang w:bidi="ar"/>
              </w:rPr>
            </w:pPr>
            <w:r>
              <w:rPr>
                <w:rFonts w:hint="eastAsia" w:ascii="宋体" w:hAnsi="宋体" w:eastAsia="宋体"/>
                <w:color w:val="auto"/>
                <w:szCs w:val="21"/>
              </w:rPr>
              <w:t>当离心机达到设定速度时才开始倒数计时</w:t>
            </w:r>
            <w:r>
              <w:rPr>
                <w:rFonts w:ascii="宋体" w:hAnsi="宋体" w:eastAsia="宋体"/>
                <w:color w:val="auto"/>
                <w:szCs w:val="21"/>
              </w:rPr>
              <w:t>.</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23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参数7</w:t>
            </w:r>
          </w:p>
        </w:tc>
        <w:tc>
          <w:tcPr>
            <w:tcW w:w="5321" w:type="dxa"/>
            <w:noWrap w:val="0"/>
            <w:vAlign w:val="center"/>
          </w:tcPr>
          <w:p>
            <w:pPr>
              <w:pStyle w:val="18"/>
              <w:spacing w:line="300" w:lineRule="exact"/>
              <w:jc w:val="left"/>
              <w:rPr>
                <w:rFonts w:hint="eastAsia" w:ascii="宋体" w:hAnsi="宋体" w:cs="Arial"/>
                <w:color w:val="auto"/>
                <w:lang w:bidi="ar"/>
              </w:rPr>
            </w:pPr>
            <w:r>
              <w:rPr>
                <w:rFonts w:hint="eastAsia" w:ascii="宋体" w:hAnsi="宋体"/>
                <w:color w:val="auto"/>
                <w:szCs w:val="21"/>
              </w:rPr>
              <w:t>最大容量≥4x750ml；</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236" w:type="dxa"/>
            <w:noWrap w:val="0"/>
            <w:vAlign w:val="top"/>
          </w:tcPr>
          <w:p>
            <w:pPr>
              <w:jc w:val="center"/>
              <w:rPr>
                <w:rFonts w:ascii="宋体" w:hAnsi="宋体"/>
                <w:color w:val="auto"/>
              </w:rPr>
            </w:pPr>
            <w:r>
              <w:rPr>
                <w:rFonts w:hint="eastAsia" w:ascii="宋体" w:hAnsi="宋体" w:cs="宋体"/>
                <w:color w:val="auto"/>
                <w:kern w:val="0"/>
              </w:rPr>
              <w:t>参数8</w:t>
            </w:r>
          </w:p>
        </w:tc>
        <w:tc>
          <w:tcPr>
            <w:tcW w:w="5321" w:type="dxa"/>
            <w:noWrap w:val="0"/>
            <w:vAlign w:val="center"/>
          </w:tcPr>
          <w:p>
            <w:pPr>
              <w:widowControl/>
              <w:spacing w:line="240" w:lineRule="auto"/>
              <w:rPr>
                <w:rFonts w:hint="eastAsia" w:ascii="宋体" w:hAnsi="宋体"/>
                <w:color w:val="auto"/>
              </w:rPr>
            </w:pPr>
            <w:r>
              <w:rPr>
                <w:rFonts w:hint="eastAsia" w:ascii="宋体" w:hAnsi="宋体"/>
                <w:color w:val="auto"/>
                <w:szCs w:val="21"/>
              </w:rPr>
              <w:t>微机控制储存≥30个可编程序</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236" w:type="dxa"/>
            <w:noWrap w:val="0"/>
            <w:vAlign w:val="top"/>
          </w:tcPr>
          <w:p>
            <w:pPr>
              <w:jc w:val="center"/>
              <w:rPr>
                <w:rFonts w:ascii="宋体" w:hAnsi="宋体"/>
                <w:color w:val="auto"/>
              </w:rPr>
            </w:pPr>
            <w:r>
              <w:rPr>
                <w:rFonts w:hint="eastAsia" w:ascii="宋体" w:hAnsi="宋体" w:cs="宋体"/>
                <w:color w:val="auto"/>
                <w:kern w:val="0"/>
              </w:rPr>
              <w:t>参数9</w:t>
            </w:r>
          </w:p>
        </w:tc>
        <w:tc>
          <w:tcPr>
            <w:tcW w:w="5321" w:type="dxa"/>
            <w:noWrap w:val="0"/>
            <w:vAlign w:val="center"/>
          </w:tcPr>
          <w:p>
            <w:pPr>
              <w:pStyle w:val="53"/>
              <w:widowControl/>
              <w:spacing w:line="300" w:lineRule="exact"/>
              <w:ind w:firstLine="0" w:firstLineChars="0"/>
              <w:jc w:val="left"/>
              <w:rPr>
                <w:rFonts w:hint="eastAsia" w:ascii="宋体" w:hAnsi="宋体"/>
                <w:color w:val="auto"/>
                <w:sz w:val="24"/>
                <w:szCs w:val="24"/>
              </w:rPr>
            </w:pPr>
            <w:r>
              <w:rPr>
                <w:rFonts w:hint="eastAsia" w:ascii="宋体" w:hAnsi="宋体"/>
                <w:color w:val="auto"/>
                <w:szCs w:val="21"/>
              </w:rPr>
              <w:t>符合最严格IEC1010-2-020安全标准，保证离心操作高度安全，适用于P3实验室；</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236" w:type="dxa"/>
            <w:noWrap w:val="0"/>
            <w:vAlign w:val="top"/>
          </w:tcPr>
          <w:p>
            <w:pPr>
              <w:ind w:firstLine="402" w:firstLineChars="200"/>
              <w:rPr>
                <w:rFonts w:hint="eastAsia" w:ascii="宋体" w:hAnsi="宋体" w:cs="宋体"/>
                <w:color w:val="auto"/>
                <w:kern w:val="0"/>
              </w:rPr>
            </w:pPr>
            <w:r>
              <w:rPr>
                <w:rFonts w:hint="eastAsia" w:ascii="宋体" w:hAnsi="宋体" w:cs="宋体"/>
                <w:color w:val="auto"/>
                <w:kern w:val="0"/>
              </w:rPr>
              <w:t>参数10</w:t>
            </w:r>
          </w:p>
        </w:tc>
        <w:tc>
          <w:tcPr>
            <w:tcW w:w="5321" w:type="dxa"/>
            <w:noWrap w:val="0"/>
            <w:vAlign w:val="center"/>
          </w:tcPr>
          <w:p>
            <w:pPr>
              <w:jc w:val="center"/>
              <w:rPr>
                <w:rFonts w:hint="eastAsia" w:ascii="宋体" w:hAnsi="宋体" w:cs="宋体"/>
                <w:color w:val="auto"/>
                <w:kern w:val="0"/>
              </w:rPr>
            </w:pPr>
            <w:r>
              <w:rPr>
                <w:rFonts w:hint="eastAsia" w:ascii="宋体" w:hAnsi="宋体" w:cs="宋体"/>
                <w:color w:val="auto"/>
                <w:kern w:val="0"/>
              </w:rPr>
              <w:t>用微孔板适配器，而无需更换转头；</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2236" w:type="dxa"/>
            <w:noWrap w:val="0"/>
            <w:vAlign w:val="top"/>
          </w:tcPr>
          <w:p>
            <w:pPr>
              <w:jc w:val="center"/>
              <w:rPr>
                <w:rFonts w:ascii="宋体" w:hAnsi="宋体"/>
                <w:color w:val="auto"/>
              </w:rPr>
            </w:pPr>
            <w:r>
              <w:rPr>
                <w:rFonts w:hint="eastAsia" w:ascii="宋体" w:hAnsi="宋体" w:cs="宋体"/>
                <w:color w:val="auto"/>
                <w:kern w:val="0"/>
              </w:rPr>
              <w:t>参数11</w:t>
            </w:r>
          </w:p>
        </w:tc>
        <w:tc>
          <w:tcPr>
            <w:tcW w:w="5321" w:type="dxa"/>
            <w:noWrap w:val="0"/>
            <w:vAlign w:val="center"/>
          </w:tcPr>
          <w:p>
            <w:pPr>
              <w:widowControl/>
              <w:spacing w:line="240" w:lineRule="auto"/>
              <w:rPr>
                <w:rFonts w:hint="eastAsia" w:ascii="宋体" w:hAnsi="宋体"/>
                <w:color w:val="auto"/>
              </w:rPr>
            </w:pPr>
            <w:r>
              <w:rPr>
                <w:rFonts w:hint="eastAsia" w:ascii="宋体" w:hAnsi="宋体"/>
                <w:color w:val="auto"/>
              </w:rPr>
              <w:t xml:space="preserve">具有可选择速度的短时瞬时离心功能； </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82"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23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配置需求</w:t>
            </w:r>
          </w:p>
        </w:tc>
        <w:tc>
          <w:tcPr>
            <w:tcW w:w="5321" w:type="dxa"/>
            <w:noWrap w:val="0"/>
            <w:vAlign w:val="center"/>
          </w:tcPr>
          <w:p>
            <w:pPr>
              <w:widowControl/>
              <w:spacing w:line="240" w:lineRule="auto"/>
              <w:jc w:val="center"/>
              <w:rPr>
                <w:rFonts w:ascii="宋体" w:hAnsi="宋体" w:cs="宋体"/>
                <w:color w:val="auto"/>
                <w:kern w:val="0"/>
              </w:rPr>
            </w:pP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配置1</w:t>
            </w:r>
          </w:p>
        </w:tc>
        <w:tc>
          <w:tcPr>
            <w:tcW w:w="5321" w:type="dxa"/>
            <w:noWrap w:val="0"/>
            <w:vAlign w:val="center"/>
          </w:tcPr>
          <w:p>
            <w:pPr>
              <w:rPr>
                <w:rFonts w:hint="eastAsia" w:ascii="宋体" w:hAnsi="宋体"/>
                <w:color w:val="auto"/>
              </w:rPr>
            </w:pPr>
            <w:r>
              <w:rPr>
                <w:rFonts w:hint="eastAsia" w:ascii="宋体" w:hAnsi="宋体"/>
                <w:color w:val="auto"/>
                <w:lang w:bidi="ar"/>
              </w:rPr>
              <w:t>台式高速大容量冷冻离心机主</w:t>
            </w:r>
            <w:r>
              <w:rPr>
                <w:rFonts w:hint="eastAsia" w:ascii="宋体" w:hAnsi="宋体"/>
                <w:bCs/>
                <w:color w:val="auto"/>
                <w:lang w:bidi="ar"/>
              </w:rPr>
              <w:t>机</w:t>
            </w:r>
            <w:r>
              <w:rPr>
                <w:rFonts w:hint="eastAsia" w:ascii="宋体" w:hAnsi="宋体"/>
                <w:color w:val="auto"/>
                <w:lang w:bidi="ar"/>
              </w:rPr>
              <w:t>，1台</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23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配置2</w:t>
            </w:r>
          </w:p>
        </w:tc>
        <w:tc>
          <w:tcPr>
            <w:tcW w:w="5321" w:type="dxa"/>
            <w:noWrap w:val="0"/>
            <w:vAlign w:val="center"/>
          </w:tcPr>
          <w:p>
            <w:pPr>
              <w:widowControl/>
              <w:spacing w:line="240" w:lineRule="auto"/>
              <w:rPr>
                <w:rFonts w:hint="eastAsia" w:ascii="宋体" w:hAnsi="宋体"/>
                <w:bCs/>
                <w:color w:val="auto"/>
              </w:rPr>
            </w:pPr>
            <w:r>
              <w:rPr>
                <w:rFonts w:hint="eastAsia" w:ascii="宋体" w:hAnsi="宋体"/>
                <w:color w:val="auto"/>
                <w:szCs w:val="21"/>
              </w:rPr>
              <w:t>4x250ml水平转头</w:t>
            </w:r>
            <w:r>
              <w:rPr>
                <w:rFonts w:hint="eastAsia" w:ascii="宋体" w:hAnsi="宋体"/>
                <w:bCs/>
                <w:color w:val="auto"/>
                <w:lang w:bidi="ar"/>
              </w:rPr>
              <w:t>，1个</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xml:space="preserve">3.3 </w:t>
            </w:r>
          </w:p>
        </w:tc>
        <w:tc>
          <w:tcPr>
            <w:tcW w:w="2236" w:type="dxa"/>
            <w:noWrap w:val="0"/>
            <w:vAlign w:val="center"/>
          </w:tcPr>
          <w:p>
            <w:pPr>
              <w:widowControl/>
              <w:spacing w:line="240" w:lineRule="auto"/>
              <w:jc w:val="center"/>
              <w:rPr>
                <w:rFonts w:ascii="宋体" w:hAnsi="宋体"/>
                <w:color w:val="auto"/>
              </w:rPr>
            </w:pPr>
            <w:r>
              <w:rPr>
                <w:rFonts w:hint="eastAsia" w:ascii="宋体" w:hAnsi="宋体"/>
                <w:color w:val="auto"/>
              </w:rPr>
              <w:t>配置3</w:t>
            </w:r>
          </w:p>
        </w:tc>
        <w:tc>
          <w:tcPr>
            <w:tcW w:w="5321" w:type="dxa"/>
            <w:noWrap w:val="0"/>
            <w:vAlign w:val="center"/>
          </w:tcPr>
          <w:p>
            <w:pPr>
              <w:pStyle w:val="49"/>
              <w:spacing w:line="276" w:lineRule="auto"/>
              <w:ind w:firstLine="0" w:firstLineChars="0"/>
              <w:rPr>
                <w:rFonts w:hint="eastAsia" w:ascii="宋体" w:hAnsi="宋体" w:eastAsia="宋体" w:cs="Calibri"/>
                <w:color w:val="auto"/>
                <w:sz w:val="24"/>
                <w:szCs w:val="24"/>
              </w:rPr>
            </w:pPr>
            <w:r>
              <w:rPr>
                <w:rFonts w:hint="eastAsia" w:ascii="宋体" w:hAnsi="宋体" w:eastAsia="宋体"/>
                <w:color w:val="auto"/>
                <w:szCs w:val="21"/>
              </w:rPr>
              <w:t>50ml适配器</w:t>
            </w:r>
            <w:r>
              <w:rPr>
                <w:rFonts w:hint="eastAsia" w:ascii="宋体" w:hAnsi="宋体" w:eastAsia="宋体" w:cs="Calibri"/>
                <w:color w:val="auto"/>
                <w:sz w:val="24"/>
                <w:szCs w:val="24"/>
              </w:rPr>
              <w:t>，4个</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2236" w:type="dxa"/>
            <w:noWrap w:val="0"/>
            <w:vAlign w:val="center"/>
          </w:tcPr>
          <w:p>
            <w:pPr>
              <w:widowControl/>
              <w:spacing w:line="240" w:lineRule="auto"/>
              <w:jc w:val="center"/>
              <w:rPr>
                <w:rFonts w:ascii="宋体" w:hAnsi="宋体"/>
                <w:color w:val="auto"/>
              </w:rPr>
            </w:pPr>
            <w:r>
              <w:rPr>
                <w:rFonts w:hint="eastAsia" w:ascii="宋体" w:hAnsi="宋体"/>
                <w:color w:val="auto"/>
              </w:rPr>
              <w:t>配置4</w:t>
            </w:r>
          </w:p>
        </w:tc>
        <w:tc>
          <w:tcPr>
            <w:tcW w:w="5321" w:type="dxa"/>
            <w:noWrap w:val="0"/>
            <w:vAlign w:val="center"/>
          </w:tcPr>
          <w:p>
            <w:pPr>
              <w:pStyle w:val="49"/>
              <w:spacing w:line="276" w:lineRule="auto"/>
              <w:ind w:firstLine="0" w:firstLineChars="0"/>
              <w:rPr>
                <w:rFonts w:hint="eastAsia" w:ascii="宋体" w:hAnsi="宋体" w:eastAsia="宋体" w:cs="Calibri"/>
                <w:color w:val="auto"/>
                <w:sz w:val="24"/>
                <w:szCs w:val="24"/>
              </w:rPr>
            </w:pPr>
            <w:r>
              <w:rPr>
                <w:rFonts w:hint="eastAsia" w:ascii="宋体" w:hAnsi="宋体" w:eastAsia="宋体"/>
                <w:color w:val="auto"/>
                <w:szCs w:val="21"/>
              </w:rPr>
              <w:t>15ml适配器</w:t>
            </w:r>
            <w:r>
              <w:rPr>
                <w:rFonts w:hint="eastAsia" w:ascii="宋体" w:hAnsi="宋体" w:eastAsia="宋体" w:cs="Calibri"/>
                <w:color w:val="auto"/>
                <w:sz w:val="24"/>
                <w:szCs w:val="24"/>
              </w:rPr>
              <w:t>，4个</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xml:space="preserve">3.5 </w:t>
            </w:r>
          </w:p>
        </w:tc>
        <w:tc>
          <w:tcPr>
            <w:tcW w:w="2236" w:type="dxa"/>
            <w:noWrap w:val="0"/>
            <w:vAlign w:val="center"/>
          </w:tcPr>
          <w:p>
            <w:pPr>
              <w:widowControl/>
              <w:spacing w:line="240" w:lineRule="auto"/>
              <w:jc w:val="center"/>
              <w:rPr>
                <w:rFonts w:ascii="宋体" w:hAnsi="宋体"/>
                <w:color w:val="auto"/>
              </w:rPr>
            </w:pPr>
            <w:r>
              <w:rPr>
                <w:rFonts w:hint="eastAsia" w:ascii="宋体" w:hAnsi="宋体"/>
                <w:color w:val="auto"/>
              </w:rPr>
              <w:t>配置5</w:t>
            </w:r>
          </w:p>
        </w:tc>
        <w:tc>
          <w:tcPr>
            <w:tcW w:w="5321" w:type="dxa"/>
            <w:noWrap w:val="0"/>
            <w:vAlign w:val="center"/>
          </w:tcPr>
          <w:p>
            <w:pPr>
              <w:widowControl/>
              <w:spacing w:line="240" w:lineRule="auto"/>
              <w:rPr>
                <w:rFonts w:hint="eastAsia" w:ascii="宋体" w:hAnsi="宋体"/>
                <w:bCs/>
                <w:color w:val="auto"/>
              </w:rPr>
            </w:pPr>
            <w:r>
              <w:rPr>
                <w:rFonts w:hint="eastAsia" w:ascii="宋体" w:hAnsi="宋体"/>
                <w:color w:val="auto"/>
                <w:szCs w:val="21"/>
              </w:rPr>
              <w:t>5ml采血管适配器</w:t>
            </w:r>
            <w:r>
              <w:rPr>
                <w:rFonts w:hint="eastAsia" w:ascii="宋体" w:hAnsi="宋体"/>
                <w:color w:val="auto"/>
              </w:rPr>
              <w:t>，4个</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3.6</w:t>
            </w:r>
          </w:p>
        </w:tc>
        <w:tc>
          <w:tcPr>
            <w:tcW w:w="223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配置6</w:t>
            </w:r>
          </w:p>
        </w:tc>
        <w:tc>
          <w:tcPr>
            <w:tcW w:w="5321" w:type="dxa"/>
            <w:noWrap w:val="0"/>
            <w:vAlign w:val="center"/>
          </w:tcPr>
          <w:p>
            <w:pPr>
              <w:widowControl/>
              <w:spacing w:line="240" w:lineRule="auto"/>
              <w:rPr>
                <w:rFonts w:hint="eastAsia" w:ascii="宋体" w:hAnsi="宋体"/>
                <w:bCs/>
                <w:color w:val="auto"/>
              </w:rPr>
            </w:pPr>
            <w:r>
              <w:rPr>
                <w:rFonts w:hint="eastAsia" w:ascii="宋体" w:hAnsi="宋体"/>
                <w:color w:val="auto"/>
                <w:szCs w:val="21"/>
              </w:rPr>
              <w:t>7ml采血管适配器</w:t>
            </w:r>
            <w:r>
              <w:rPr>
                <w:rFonts w:hint="eastAsia" w:ascii="宋体" w:hAnsi="宋体"/>
                <w:color w:val="auto"/>
              </w:rPr>
              <w:t>，4个</w:t>
            </w:r>
          </w:p>
        </w:tc>
        <w:tc>
          <w:tcPr>
            <w:tcW w:w="7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3.7</w:t>
            </w:r>
          </w:p>
        </w:tc>
        <w:tc>
          <w:tcPr>
            <w:tcW w:w="2236" w:type="dxa"/>
            <w:noWrap w:val="0"/>
            <w:vAlign w:val="center"/>
          </w:tcPr>
          <w:p>
            <w:pPr>
              <w:widowControl/>
              <w:spacing w:line="240" w:lineRule="auto"/>
              <w:jc w:val="center"/>
              <w:rPr>
                <w:rFonts w:ascii="宋体" w:hAnsi="宋体"/>
                <w:color w:val="auto"/>
              </w:rPr>
            </w:pPr>
            <w:r>
              <w:rPr>
                <w:rFonts w:hint="eastAsia" w:ascii="宋体" w:hAnsi="宋体"/>
                <w:color w:val="auto"/>
              </w:rPr>
              <w:t>配置7</w:t>
            </w:r>
          </w:p>
        </w:tc>
        <w:tc>
          <w:tcPr>
            <w:tcW w:w="5321" w:type="dxa"/>
            <w:noWrap w:val="0"/>
            <w:vAlign w:val="center"/>
          </w:tcPr>
          <w:p>
            <w:pPr>
              <w:pStyle w:val="49"/>
              <w:spacing w:line="276" w:lineRule="auto"/>
              <w:ind w:firstLine="0" w:firstLineChars="0"/>
              <w:rPr>
                <w:rFonts w:hint="eastAsia" w:ascii="宋体" w:hAnsi="宋体" w:eastAsia="宋体" w:cs="Calibri"/>
                <w:color w:val="auto"/>
                <w:sz w:val="24"/>
                <w:szCs w:val="24"/>
              </w:rPr>
            </w:pPr>
            <w:r>
              <w:rPr>
                <w:rFonts w:hint="eastAsia" w:ascii="宋体" w:hAnsi="宋体" w:eastAsia="宋体" w:cs="Calibri"/>
                <w:color w:val="auto"/>
                <w:sz w:val="24"/>
                <w:szCs w:val="21"/>
              </w:rPr>
              <w:t>气密性吊篮盖，4个</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23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321" w:type="dxa"/>
            <w:noWrap w:val="0"/>
            <w:vAlign w:val="center"/>
          </w:tcPr>
          <w:p>
            <w:pPr>
              <w:widowControl/>
              <w:spacing w:line="240" w:lineRule="auto"/>
              <w:jc w:val="center"/>
              <w:rPr>
                <w:rFonts w:ascii="宋体" w:hAnsi="宋体" w:cs="宋体"/>
                <w:b/>
                <w:bCs/>
                <w:color w:val="auto"/>
                <w:kern w:val="0"/>
              </w:rPr>
            </w:pPr>
          </w:p>
        </w:tc>
        <w:tc>
          <w:tcPr>
            <w:tcW w:w="74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出现故障回应时间</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提供耗材及主要零配件目录（含报价）</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23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3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pStyle w:val="6"/>
        <w:widowControl/>
        <w:shd w:val="clear" w:color="auto" w:fill="FFFFFF"/>
        <w:spacing w:before="0" w:beforeAutospacing="0" w:after="0" w:afterAutospacing="0" w:line="360" w:lineRule="atLeast"/>
        <w:ind w:left="150" w:right="150"/>
        <w:jc w:val="center"/>
        <w:rPr>
          <w:rFonts w:hint="eastAsia" w:ascii="方正小标宋简体" w:eastAsia="方正小标宋简体" w:cs="宋体"/>
          <w:b w:val="0"/>
          <w:bCs/>
          <w:color w:val="auto"/>
          <w:sz w:val="44"/>
          <w:szCs w:val="44"/>
          <w:lang w:eastAsia="zh-CN"/>
        </w:rPr>
      </w:pPr>
      <w:r>
        <w:rPr>
          <w:rFonts w:hint="eastAsia" w:ascii="方正小标宋简体" w:eastAsia="方正小标宋简体" w:cs="宋体"/>
          <w:b w:val="0"/>
          <w:bCs/>
          <w:color w:val="auto"/>
          <w:sz w:val="44"/>
          <w:szCs w:val="44"/>
          <w:lang w:val="en-US" w:eastAsia="zh-CN"/>
        </w:rPr>
        <w:t>24.</w:t>
      </w:r>
      <w:r>
        <w:rPr>
          <w:rFonts w:ascii="方正小标宋简体" w:eastAsia="方正小标宋简体" w:cs="宋体"/>
          <w:b w:val="0"/>
          <w:bCs/>
          <w:color w:val="auto"/>
          <w:sz w:val="44"/>
          <w:szCs w:val="44"/>
        </w:rPr>
        <w:t>电热恒温培养箱</w:t>
      </w:r>
      <w:r>
        <w:rPr>
          <w:rFonts w:hint="eastAsia" w:ascii="方正小标宋简体" w:eastAsia="方正小标宋简体" w:cs="宋体"/>
          <w:b w:val="0"/>
          <w:bCs/>
          <w:color w:val="auto"/>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72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72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79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727" w:type="dxa"/>
            <w:noWrap w:val="0"/>
            <w:vAlign w:val="center"/>
          </w:tcPr>
          <w:p>
            <w:pPr>
              <w:widowControl/>
              <w:spacing w:line="240" w:lineRule="auto"/>
              <w:jc w:val="center"/>
              <w:rPr>
                <w:rFonts w:ascii="宋体" w:hAnsi="宋体" w:cs="宋体"/>
                <w:b/>
                <w:bCs/>
                <w:color w:val="auto"/>
                <w:kern w:val="0"/>
              </w:rPr>
            </w:pPr>
          </w:p>
        </w:tc>
        <w:tc>
          <w:tcPr>
            <w:tcW w:w="798"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727"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用于恒温培养微生物</w:t>
            </w:r>
          </w:p>
        </w:tc>
        <w:tc>
          <w:tcPr>
            <w:tcW w:w="798"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727"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临床样品及菌株</w:t>
            </w:r>
          </w:p>
        </w:tc>
        <w:tc>
          <w:tcPr>
            <w:tcW w:w="798"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727" w:type="dxa"/>
            <w:noWrap w:val="0"/>
            <w:vAlign w:val="center"/>
          </w:tcPr>
          <w:p>
            <w:pPr>
              <w:widowControl/>
              <w:spacing w:line="240" w:lineRule="auto"/>
              <w:rPr>
                <w:rFonts w:ascii="宋体" w:hAnsi="宋体" w:cs="宋体"/>
                <w:bCs/>
                <w:color w:val="auto"/>
                <w:kern w:val="0"/>
                <w:sz w:val="21"/>
                <w:szCs w:val="21"/>
              </w:rPr>
            </w:pPr>
          </w:p>
        </w:tc>
        <w:tc>
          <w:tcPr>
            <w:tcW w:w="798"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727" w:type="dxa"/>
            <w:noWrap w:val="0"/>
            <w:vAlign w:val="center"/>
          </w:tcPr>
          <w:p>
            <w:pPr>
              <w:widowControl/>
              <w:spacing w:line="240" w:lineRule="auto"/>
              <w:jc w:val="center"/>
              <w:rPr>
                <w:rFonts w:ascii="宋体" w:hAnsi="宋体" w:cs="宋体"/>
                <w:color w:val="auto"/>
                <w:kern w:val="0"/>
                <w:sz w:val="21"/>
                <w:szCs w:val="21"/>
              </w:rPr>
            </w:pPr>
          </w:p>
        </w:tc>
        <w:tc>
          <w:tcPr>
            <w:tcW w:w="798"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727" w:type="dxa"/>
            <w:noWrap w:val="0"/>
            <w:vAlign w:val="center"/>
          </w:tcPr>
          <w:p>
            <w:pPr>
              <w:rPr>
                <w:rFonts w:hint="eastAsia" w:ascii="宋体" w:hAnsi="宋体"/>
                <w:color w:val="auto"/>
                <w:sz w:val="21"/>
                <w:szCs w:val="21"/>
              </w:rPr>
            </w:pPr>
            <w:r>
              <w:rPr>
                <w:rFonts w:hint="eastAsia" w:ascii="宋体" w:hAnsi="宋体"/>
                <w:color w:val="auto"/>
                <w:sz w:val="21"/>
                <w:szCs w:val="21"/>
              </w:rPr>
              <w:t>配置温度传感器，可显示温度并自动校正，温度控制精度± 0.1℃ 。</w:t>
            </w:r>
          </w:p>
        </w:tc>
        <w:tc>
          <w:tcPr>
            <w:tcW w:w="798"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727" w:type="dxa"/>
            <w:noWrap w:val="0"/>
            <w:vAlign w:val="center"/>
          </w:tcPr>
          <w:p>
            <w:pPr>
              <w:spacing w:line="240" w:lineRule="auto"/>
              <w:rPr>
                <w:rFonts w:hint="eastAsia"/>
                <w:color w:val="auto"/>
                <w:sz w:val="21"/>
                <w:szCs w:val="21"/>
              </w:rPr>
            </w:pPr>
            <w:r>
              <w:rPr>
                <w:rFonts w:hint="eastAsia" w:ascii="宋体" w:hAnsi="宋体"/>
                <w:color w:val="auto"/>
                <w:sz w:val="21"/>
                <w:szCs w:val="21"/>
              </w:rPr>
              <w:t>温度范围：室温+5℃至60℃。</w:t>
            </w:r>
          </w:p>
        </w:tc>
        <w:tc>
          <w:tcPr>
            <w:tcW w:w="798"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727" w:type="dxa"/>
            <w:noWrap w:val="0"/>
            <w:vAlign w:val="center"/>
          </w:tcPr>
          <w:p>
            <w:pPr>
              <w:spacing w:line="240" w:lineRule="auto"/>
              <w:rPr>
                <w:rFonts w:hint="eastAsia"/>
                <w:color w:val="auto"/>
                <w:sz w:val="21"/>
                <w:szCs w:val="21"/>
              </w:rPr>
            </w:pPr>
            <w:r>
              <w:rPr>
                <w:rFonts w:hint="eastAsia"/>
                <w:color w:val="auto"/>
                <w:sz w:val="21"/>
                <w:szCs w:val="21"/>
              </w:rPr>
              <w:t>温度均匀度   ≤±1 ℃  </w:t>
            </w:r>
          </w:p>
          <w:p>
            <w:pPr>
              <w:rPr>
                <w:rFonts w:ascii="宋体" w:hAnsi="宋体"/>
                <w:color w:val="auto"/>
                <w:sz w:val="21"/>
                <w:szCs w:val="21"/>
              </w:rPr>
            </w:pPr>
            <w:r>
              <w:rPr>
                <w:rFonts w:hint="eastAsia"/>
                <w:color w:val="auto"/>
                <w:sz w:val="21"/>
                <w:szCs w:val="21"/>
              </w:rPr>
              <w:t>温度波动度   ≤±0.5 ℃</w:t>
            </w:r>
          </w:p>
        </w:tc>
        <w:tc>
          <w:tcPr>
            <w:tcW w:w="798"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727" w:type="dxa"/>
            <w:noWrap w:val="0"/>
            <w:vAlign w:val="center"/>
          </w:tcPr>
          <w:p>
            <w:pPr>
              <w:rPr>
                <w:rFonts w:hint="eastAsia" w:ascii="宋体" w:hAnsi="宋体"/>
                <w:color w:val="auto"/>
                <w:sz w:val="21"/>
                <w:szCs w:val="21"/>
              </w:rPr>
            </w:pPr>
            <w:r>
              <w:rPr>
                <w:rFonts w:hint="eastAsia" w:ascii="宋体" w:hAnsi="宋体"/>
                <w:color w:val="auto"/>
                <w:sz w:val="21"/>
                <w:szCs w:val="21"/>
              </w:rPr>
              <w:t>送风方式为水平出风弧形循环设计。</w:t>
            </w:r>
          </w:p>
        </w:tc>
        <w:tc>
          <w:tcPr>
            <w:tcW w:w="79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727" w:type="dxa"/>
            <w:noWrap w:val="0"/>
            <w:vAlign w:val="center"/>
          </w:tcPr>
          <w:p>
            <w:pPr>
              <w:rPr>
                <w:rFonts w:hint="eastAsia" w:ascii="宋体" w:hAnsi="宋体"/>
                <w:color w:val="auto"/>
                <w:sz w:val="21"/>
                <w:szCs w:val="21"/>
              </w:rPr>
            </w:pPr>
            <w:r>
              <w:rPr>
                <w:rFonts w:hint="eastAsia" w:ascii="宋体" w:hAnsi="宋体"/>
                <w:color w:val="auto"/>
                <w:sz w:val="21"/>
                <w:szCs w:val="21"/>
              </w:rPr>
              <w:t>故障异常发生时，自动断电热保护，发出报警音。</w:t>
            </w:r>
          </w:p>
        </w:tc>
        <w:tc>
          <w:tcPr>
            <w:tcW w:w="79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727" w:type="dxa"/>
            <w:noWrap w:val="0"/>
            <w:vAlign w:val="center"/>
          </w:tcPr>
          <w:p>
            <w:pPr>
              <w:rPr>
                <w:rFonts w:hint="eastAsia" w:ascii="宋体" w:hAnsi="宋体"/>
                <w:color w:val="auto"/>
                <w:sz w:val="21"/>
                <w:szCs w:val="21"/>
              </w:rPr>
            </w:pPr>
            <w:r>
              <w:rPr>
                <w:rFonts w:hint="eastAsia" w:ascii="宋体" w:hAnsi="宋体"/>
                <w:color w:val="auto"/>
                <w:sz w:val="21"/>
                <w:szCs w:val="21"/>
              </w:rPr>
              <w:t>可</w:t>
            </w:r>
            <w:r>
              <w:rPr>
                <w:rFonts w:ascii="宋体" w:hAnsi="宋体"/>
                <w:color w:val="auto"/>
                <w:sz w:val="21"/>
                <w:szCs w:val="21"/>
              </w:rPr>
              <w:t>定时范围1~9999分钟 ；无定时连续运行</w:t>
            </w:r>
            <w:r>
              <w:rPr>
                <w:rFonts w:hint="eastAsia" w:ascii="宋体" w:hAnsi="宋体"/>
                <w:color w:val="auto"/>
                <w:sz w:val="21"/>
                <w:szCs w:val="21"/>
              </w:rPr>
              <w:t>。</w:t>
            </w:r>
          </w:p>
        </w:tc>
        <w:tc>
          <w:tcPr>
            <w:tcW w:w="79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727"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727"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72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72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72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72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727"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79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72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7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72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7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727"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798"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72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79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7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7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7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7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25.</w:t>
      </w:r>
      <w:r>
        <w:rPr>
          <w:rFonts w:hint="eastAsia" w:ascii="方正小标宋简体" w:hAnsi="宋体" w:eastAsia="方正小标宋简体" w:cs="宋体"/>
          <w:bCs/>
          <w:color w:val="auto"/>
          <w:kern w:val="0"/>
          <w:sz w:val="44"/>
          <w:szCs w:val="44"/>
        </w:rPr>
        <w:t>野外核酸快速提取仪-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159"/>
        <w:gridCol w:w="5819"/>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5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81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63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5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81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63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819" w:type="dxa"/>
            <w:noWrap w:val="0"/>
            <w:vAlign w:val="center"/>
          </w:tcPr>
          <w:p>
            <w:pPr>
              <w:widowControl/>
              <w:spacing w:line="240" w:lineRule="auto"/>
              <w:rPr>
                <w:rFonts w:ascii="宋体" w:hAnsi="宋体" w:cs="宋体"/>
                <w:color w:val="auto"/>
                <w:kern w:val="0"/>
                <w:sz w:val="21"/>
                <w:szCs w:val="21"/>
              </w:rPr>
            </w:pPr>
            <w:r>
              <w:rPr>
                <w:rFonts w:hint="eastAsia" w:ascii="宋体" w:hAnsi="宋体" w:cs="宋体"/>
                <w:color w:val="auto"/>
                <w:kern w:val="0"/>
                <w:sz w:val="21"/>
                <w:szCs w:val="21"/>
              </w:rPr>
              <w:t>用于野外核酸提取</w:t>
            </w:r>
          </w:p>
        </w:tc>
        <w:tc>
          <w:tcPr>
            <w:tcW w:w="63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59"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819" w:type="dxa"/>
            <w:shd w:val="clear" w:color="000000" w:fill="auto"/>
            <w:noWrap w:val="0"/>
            <w:vAlign w:val="center"/>
          </w:tcPr>
          <w:p>
            <w:pPr>
              <w:widowControl/>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生物样品</w:t>
            </w:r>
          </w:p>
        </w:tc>
        <w:tc>
          <w:tcPr>
            <w:tcW w:w="638"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59"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819" w:type="dxa"/>
            <w:noWrap w:val="0"/>
            <w:vAlign w:val="center"/>
          </w:tcPr>
          <w:p>
            <w:pPr>
              <w:widowControl/>
              <w:spacing w:line="240" w:lineRule="auto"/>
              <w:rPr>
                <w:rFonts w:ascii="宋体" w:hAnsi="宋体" w:cs="宋体"/>
                <w:b/>
                <w:bCs/>
                <w:color w:val="auto"/>
                <w:kern w:val="0"/>
                <w:sz w:val="21"/>
                <w:szCs w:val="21"/>
              </w:rPr>
            </w:pPr>
            <w:r>
              <w:rPr>
                <w:rFonts w:hint="eastAsia" w:ascii="宋体" w:hAnsi="宋体" w:cs="宋体"/>
                <w:b/>
                <w:bCs/>
                <w:color w:val="auto"/>
                <w:kern w:val="0"/>
                <w:sz w:val="21"/>
                <w:szCs w:val="21"/>
              </w:rPr>
              <w:t>无</w:t>
            </w:r>
          </w:p>
        </w:tc>
        <w:tc>
          <w:tcPr>
            <w:tcW w:w="63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5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63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9" w:type="dxa"/>
            <w:noWrap w:val="0"/>
            <w:vAlign w:val="center"/>
          </w:tcPr>
          <w:p>
            <w:pPr>
              <w:widowControl/>
              <w:spacing w:line="240" w:lineRule="auto"/>
              <w:jc w:val="center"/>
              <w:rPr>
                <w:rFonts w:hint="eastAsia" w:ascii="宋体" w:hAnsi="宋体" w:cs="宋体"/>
                <w:b/>
                <w:color w:val="auto"/>
                <w:kern w:val="0"/>
              </w:rPr>
            </w:pPr>
            <w:r>
              <w:rPr>
                <w:rFonts w:hint="eastAsia" w:ascii="宋体" w:hAnsi="宋体" w:cs="宋体"/>
                <w:color w:val="auto"/>
                <w:kern w:val="0"/>
              </w:rPr>
              <w:t>2.1</w:t>
            </w:r>
          </w:p>
        </w:tc>
        <w:tc>
          <w:tcPr>
            <w:tcW w:w="2159" w:type="dxa"/>
            <w:noWrap w:val="0"/>
            <w:vAlign w:val="center"/>
          </w:tcPr>
          <w:p>
            <w:pPr>
              <w:widowControl/>
              <w:spacing w:line="240" w:lineRule="auto"/>
              <w:jc w:val="center"/>
              <w:rPr>
                <w:rFonts w:hint="eastAsia" w:ascii="宋体" w:hAnsi="宋体" w:cs="宋体"/>
                <w:b/>
                <w:bCs/>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w:t>
            </w:r>
            <w:r>
              <w:rPr>
                <w:rFonts w:ascii="宋体" w:hAnsi="宋体" w:cs="宋体"/>
                <w:color w:val="auto"/>
                <w:kern w:val="0"/>
                <w:sz w:val="21"/>
                <w:szCs w:val="21"/>
              </w:rPr>
              <w:t>1</w:t>
            </w:r>
          </w:p>
        </w:tc>
        <w:tc>
          <w:tcPr>
            <w:tcW w:w="581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体积小巧便携，能方便放入生物安全柜内进行操作</w:t>
            </w:r>
          </w:p>
        </w:tc>
        <w:tc>
          <w:tcPr>
            <w:tcW w:w="638"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2</w:t>
            </w:r>
          </w:p>
        </w:tc>
        <w:tc>
          <w:tcPr>
            <w:tcW w:w="215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sz w:val="21"/>
                <w:szCs w:val="21"/>
              </w:rPr>
              <w:t>★参数</w:t>
            </w:r>
            <w:r>
              <w:rPr>
                <w:rFonts w:ascii="宋体" w:hAnsi="宋体" w:cs="宋体"/>
                <w:color w:val="auto"/>
                <w:kern w:val="0"/>
                <w:sz w:val="21"/>
                <w:szCs w:val="21"/>
              </w:rPr>
              <w:t>2</w:t>
            </w:r>
          </w:p>
        </w:tc>
        <w:tc>
          <w:tcPr>
            <w:tcW w:w="581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可外接2</w:t>
            </w:r>
            <w:r>
              <w:rPr>
                <w:rFonts w:ascii="宋体" w:hAnsi="宋体" w:cs="宋体"/>
                <w:color w:val="auto"/>
                <w:kern w:val="0"/>
                <w:sz w:val="21"/>
                <w:szCs w:val="21"/>
              </w:rPr>
              <w:t>4V</w:t>
            </w:r>
            <w:r>
              <w:rPr>
                <w:rFonts w:hint="eastAsia" w:ascii="宋体" w:hAnsi="宋体" w:cs="宋体"/>
                <w:color w:val="auto"/>
                <w:kern w:val="0"/>
                <w:sz w:val="21"/>
                <w:szCs w:val="21"/>
              </w:rPr>
              <w:t>直流电源/蓄电池进行工作，便于在现场/野外进行核酸提取；</w:t>
            </w:r>
          </w:p>
        </w:tc>
        <w:tc>
          <w:tcPr>
            <w:tcW w:w="63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w:t>
            </w:r>
            <w:r>
              <w:rPr>
                <w:rFonts w:ascii="宋体" w:hAnsi="宋体" w:cs="宋体"/>
                <w:color w:val="auto"/>
                <w:kern w:val="0"/>
                <w:sz w:val="21"/>
                <w:szCs w:val="21"/>
              </w:rPr>
              <w:t>3</w:t>
            </w:r>
          </w:p>
        </w:tc>
        <w:tc>
          <w:tcPr>
            <w:tcW w:w="581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核酸提取管采用封闭式结构设计，提取过程中，无机械运动或液体转移环节，全程封闭，隔绝DNA气溶胶飘散； </w:t>
            </w:r>
          </w:p>
        </w:tc>
        <w:tc>
          <w:tcPr>
            <w:tcW w:w="63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59" w:type="dxa"/>
            <w:noWrap w:val="0"/>
            <w:vAlign w:val="center"/>
          </w:tcPr>
          <w:p>
            <w:pPr>
              <w:widowControl/>
              <w:spacing w:line="240" w:lineRule="auto"/>
              <w:jc w:val="center"/>
              <w:rPr>
                <w:rFonts w:hint="eastAsia" w:ascii="宋体" w:hAnsi="宋体" w:cs="宋体"/>
                <w:color w:val="auto"/>
                <w:kern w:val="0"/>
              </w:rPr>
            </w:pPr>
            <w:r>
              <w:rPr>
                <w:rFonts w:hint="eastAsia" w:ascii="华文仿宋" w:hAnsi="华文仿宋" w:eastAsia="华文仿宋"/>
                <w:color w:val="auto"/>
                <w:sz w:val="21"/>
                <w:szCs w:val="21"/>
              </w:rPr>
              <w:t>▲</w:t>
            </w:r>
            <w:r>
              <w:rPr>
                <w:rFonts w:hint="eastAsia" w:ascii="宋体" w:hAnsi="宋体" w:cs="宋体"/>
                <w:color w:val="auto"/>
                <w:kern w:val="0"/>
                <w:sz w:val="21"/>
                <w:szCs w:val="21"/>
              </w:rPr>
              <w:t>参数4</w:t>
            </w:r>
          </w:p>
        </w:tc>
        <w:tc>
          <w:tcPr>
            <w:tcW w:w="581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使用嗜热酶提取，裂解效果好。 </w:t>
            </w:r>
          </w:p>
        </w:tc>
        <w:tc>
          <w:tcPr>
            <w:tcW w:w="63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华文仿宋" w:hAnsi="华文仿宋" w:eastAsia="华文仿宋"/>
                <w:color w:val="auto"/>
                <w:sz w:val="21"/>
                <w:szCs w:val="21"/>
              </w:rPr>
              <w:t>▲</w:t>
            </w:r>
            <w:r>
              <w:rPr>
                <w:rFonts w:hint="eastAsia" w:ascii="宋体" w:hAnsi="宋体" w:cs="宋体"/>
                <w:color w:val="auto"/>
                <w:kern w:val="0"/>
                <w:sz w:val="21"/>
                <w:szCs w:val="21"/>
              </w:rPr>
              <w:t>参数5</w:t>
            </w:r>
          </w:p>
        </w:tc>
        <w:tc>
          <w:tcPr>
            <w:tcW w:w="581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提取过程中无需加入</w:t>
            </w:r>
            <w:r>
              <w:rPr>
                <w:rFonts w:ascii="宋体" w:hAnsi="宋体" w:cs="宋体"/>
                <w:color w:val="auto"/>
                <w:kern w:val="0"/>
                <w:sz w:val="21"/>
                <w:szCs w:val="21"/>
              </w:rPr>
              <w:t>SDS</w:t>
            </w:r>
            <w:r>
              <w:rPr>
                <w:rFonts w:hint="eastAsia" w:ascii="宋体" w:hAnsi="宋体" w:cs="宋体"/>
                <w:color w:val="auto"/>
                <w:kern w:val="0"/>
                <w:sz w:val="21"/>
                <w:szCs w:val="21"/>
              </w:rPr>
              <w:t>等去污剂，无任何转移、洗涤和洗脱步骤，减少DNA损失，保证产物得率；</w:t>
            </w:r>
          </w:p>
        </w:tc>
        <w:tc>
          <w:tcPr>
            <w:tcW w:w="63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华文仿宋" w:hAnsi="华文仿宋" w:eastAsia="华文仿宋"/>
                <w:color w:val="auto"/>
                <w:sz w:val="21"/>
                <w:szCs w:val="21"/>
              </w:rPr>
              <w:t>▲</w:t>
            </w:r>
            <w:r>
              <w:rPr>
                <w:rFonts w:hint="eastAsia" w:ascii="宋体" w:hAnsi="宋体" w:cs="宋体"/>
                <w:color w:val="auto"/>
                <w:kern w:val="0"/>
                <w:sz w:val="21"/>
                <w:szCs w:val="21"/>
              </w:rPr>
              <w:t>参数6</w:t>
            </w:r>
          </w:p>
        </w:tc>
        <w:tc>
          <w:tcPr>
            <w:tcW w:w="5819"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单管操作，步骤简单，20分钟内即可完成核酸提取，并获得高质量的DNA，无需使用离心机/金属浴等辅助设备，适合于野外核酸提取；</w:t>
            </w:r>
          </w:p>
        </w:tc>
        <w:tc>
          <w:tcPr>
            <w:tcW w:w="63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819"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可同时处理1-</w:t>
            </w:r>
            <w:r>
              <w:rPr>
                <w:rFonts w:ascii="宋体" w:hAnsi="宋体" w:cs="宋体"/>
                <w:color w:val="auto"/>
                <w:kern w:val="0"/>
                <w:sz w:val="21"/>
                <w:szCs w:val="21"/>
              </w:rPr>
              <w:t>2</w:t>
            </w:r>
            <w:r>
              <w:rPr>
                <w:rFonts w:hint="eastAsia" w:ascii="宋体" w:hAnsi="宋体" w:cs="宋体"/>
                <w:color w:val="auto"/>
                <w:kern w:val="0"/>
                <w:sz w:val="21"/>
                <w:szCs w:val="21"/>
              </w:rPr>
              <w:t>4个样品，样品通量可根据用户样本数量需求灵活设定，减少试剂的浪费；</w:t>
            </w:r>
          </w:p>
        </w:tc>
        <w:tc>
          <w:tcPr>
            <w:tcW w:w="63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819" w:type="dxa"/>
            <w:noWrap w:val="0"/>
            <w:vAlign w:val="center"/>
          </w:tcPr>
          <w:p>
            <w:pPr>
              <w:spacing w:line="240" w:lineRule="auto"/>
              <w:rPr>
                <w:rFonts w:hint="eastAsia" w:ascii="宋体" w:hAnsi="宋体"/>
                <w:color w:val="auto"/>
                <w:sz w:val="21"/>
                <w:szCs w:val="21"/>
              </w:rPr>
            </w:pPr>
            <w:r>
              <w:rPr>
                <w:rFonts w:hint="eastAsia" w:ascii="宋体" w:hAnsi="宋体"/>
                <w:color w:val="auto"/>
                <w:sz w:val="21"/>
                <w:szCs w:val="21"/>
              </w:rPr>
              <w:t>内置UV灭菌功能，确保实验室生物安全；</w:t>
            </w:r>
          </w:p>
        </w:tc>
        <w:tc>
          <w:tcPr>
            <w:tcW w:w="63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819"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提取过程温和，避免DNA链断裂，最大程度保证样品的完整性</w:t>
            </w:r>
          </w:p>
        </w:tc>
        <w:tc>
          <w:tcPr>
            <w:tcW w:w="63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5819"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大屏幕彩色显示界面，内置中英文操作系统，触屏式操作，软件易上手；</w:t>
            </w:r>
          </w:p>
        </w:tc>
        <w:tc>
          <w:tcPr>
            <w:tcW w:w="63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9"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15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63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3.1</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3.2</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819" w:type="dxa"/>
            <w:noWrap w:val="0"/>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电源适配器一个</w:t>
            </w:r>
          </w:p>
        </w:tc>
        <w:tc>
          <w:tcPr>
            <w:tcW w:w="638"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3.</w:t>
            </w:r>
            <w:r>
              <w:rPr>
                <w:rFonts w:ascii="宋体" w:hAnsi="宋体" w:cs="宋体"/>
                <w:color w:val="auto"/>
                <w:kern w:val="0"/>
                <w:sz w:val="21"/>
                <w:szCs w:val="21"/>
              </w:rPr>
              <w:t>3</w:t>
            </w:r>
          </w:p>
        </w:tc>
        <w:tc>
          <w:tcPr>
            <w:tcW w:w="215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w:t>
            </w:r>
            <w:r>
              <w:rPr>
                <w:rFonts w:ascii="宋体" w:hAnsi="宋体" w:cs="宋体"/>
                <w:color w:val="auto"/>
                <w:kern w:val="0"/>
                <w:sz w:val="21"/>
                <w:szCs w:val="21"/>
              </w:rPr>
              <w:t>3</w:t>
            </w:r>
          </w:p>
        </w:tc>
        <w:tc>
          <w:tcPr>
            <w:tcW w:w="5819" w:type="dxa"/>
            <w:noWrap w:val="0"/>
            <w:vAlign w:val="center"/>
          </w:tcPr>
          <w:p>
            <w:pPr>
              <w:spacing w:line="240" w:lineRule="auto"/>
              <w:jc w:val="center"/>
              <w:rPr>
                <w:rFonts w:hint="eastAsia" w:ascii="宋体" w:hAnsi="宋体" w:cs="宋体"/>
                <w:color w:val="auto"/>
                <w:sz w:val="21"/>
                <w:szCs w:val="21"/>
              </w:rPr>
            </w:pPr>
            <w:r>
              <w:rPr>
                <w:rFonts w:hint="eastAsia" w:ascii="宋体" w:hAnsi="宋体" w:cs="宋体"/>
                <w:color w:val="auto"/>
                <w:sz w:val="21"/>
                <w:szCs w:val="21"/>
              </w:rPr>
              <w:t>电池（野外作业用）一个</w:t>
            </w:r>
          </w:p>
        </w:tc>
        <w:tc>
          <w:tcPr>
            <w:tcW w:w="638"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4</w:t>
            </w:r>
          </w:p>
        </w:tc>
        <w:tc>
          <w:tcPr>
            <w:tcW w:w="215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售后服务</w:t>
            </w:r>
          </w:p>
        </w:tc>
        <w:tc>
          <w:tcPr>
            <w:tcW w:w="581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　</w:t>
            </w:r>
          </w:p>
        </w:tc>
        <w:tc>
          <w:tcPr>
            <w:tcW w:w="638"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4.1</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保修年限</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海外安装,海外维保≥3年</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4.2</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出现故障响应时间</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4.3</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维修支持</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配件供应时间≥10年</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4.4</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耗材及零配件</w:t>
            </w:r>
          </w:p>
        </w:tc>
        <w:tc>
          <w:tcPr>
            <w:tcW w:w="5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提供耗材及主要零配件目录（含报价）</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维修资料</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提供详细操作手册、维修保养手册、安装手册等</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6</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预防性维修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/定期维护保养</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保修期内提供定期维护保养服务</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7</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维修密码支持</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开放</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8</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升级</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终身免费软件升级</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9</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使用培训</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4.1</w:t>
            </w:r>
            <w:r>
              <w:rPr>
                <w:rFonts w:ascii="宋体" w:hAnsi="宋体" w:cs="宋体"/>
                <w:color w:val="auto"/>
                <w:kern w:val="0"/>
                <w:sz w:val="21"/>
                <w:szCs w:val="21"/>
              </w:rPr>
              <w:t>0</w:t>
            </w:r>
          </w:p>
        </w:tc>
        <w:tc>
          <w:tcPr>
            <w:tcW w:w="215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工程师培训</w:t>
            </w:r>
          </w:p>
        </w:tc>
        <w:tc>
          <w:tcPr>
            <w:tcW w:w="581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63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bl>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26.</w:t>
      </w:r>
      <w:r>
        <w:rPr>
          <w:rFonts w:hint="eastAsia" w:ascii="方正小标宋简体" w:hAnsi="宋体" w:eastAsia="方正小标宋简体" w:cs="宋体"/>
          <w:bCs/>
          <w:color w:val="auto"/>
          <w:kern w:val="0"/>
          <w:sz w:val="44"/>
          <w:szCs w:val="44"/>
        </w:rPr>
        <w:t>mini离心机（生物安全柜内）生物安全型</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24"/>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2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00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2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0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24" w:type="dxa"/>
            <w:noWrap w:val="0"/>
            <w:vAlign w:val="center"/>
          </w:tcPr>
          <w:p>
            <w:pPr>
              <w:widowControl/>
              <w:spacing w:line="240" w:lineRule="auto"/>
              <w:jc w:val="left"/>
              <w:rPr>
                <w:rFonts w:ascii="宋体" w:hAnsi="宋体"/>
                <w:b/>
                <w:bCs/>
                <w:color w:val="auto"/>
                <w:sz w:val="28"/>
                <w:szCs w:val="28"/>
              </w:rPr>
            </w:pPr>
            <w:r>
              <w:rPr>
                <w:rFonts w:hint="eastAsia"/>
                <w:color w:val="auto"/>
              </w:rPr>
              <w:t>用于离心分离，样品处理及样品制备操作</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24" w:type="dxa"/>
            <w:shd w:val="clear" w:color="000000" w:fill="auto"/>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血液，DNA等</w:t>
            </w:r>
          </w:p>
        </w:tc>
        <w:tc>
          <w:tcPr>
            <w:tcW w:w="1001"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24" w:type="dxa"/>
            <w:noWrap w:val="0"/>
            <w:vAlign w:val="center"/>
          </w:tcPr>
          <w:p>
            <w:pPr>
              <w:widowControl/>
              <w:spacing w:line="240" w:lineRule="auto"/>
              <w:rPr>
                <w:rFonts w:ascii="宋体" w:hAnsi="宋体" w:cs="宋体"/>
                <w:b/>
                <w:bCs/>
                <w:color w:val="auto"/>
                <w:kern w:val="0"/>
                <w:sz w:val="21"/>
                <w:szCs w:val="21"/>
              </w:rPr>
            </w:pPr>
            <w:r>
              <w:rPr>
                <w:rFonts w:hint="eastAsia" w:ascii="宋体" w:hAnsi="宋体" w:cs="宋体"/>
                <w:b/>
                <w:bCs/>
                <w:color w:val="auto"/>
                <w:kern w:val="0"/>
                <w:sz w:val="21"/>
                <w:szCs w:val="21"/>
              </w:rPr>
              <w:t>无</w:t>
            </w:r>
          </w:p>
        </w:tc>
        <w:tc>
          <w:tcPr>
            <w:tcW w:w="10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52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24" w:type="dxa"/>
            <w:noWrap w:val="0"/>
            <w:vAlign w:val="center"/>
          </w:tcPr>
          <w:p>
            <w:pPr>
              <w:rPr>
                <w:rFonts w:hint="eastAsia"/>
                <w:color w:val="auto"/>
              </w:rPr>
            </w:pPr>
            <w:r>
              <w:rPr>
                <w:rFonts w:hint="eastAsia"/>
                <w:color w:val="auto"/>
              </w:rPr>
              <w:t>可放入生物安全柜，最大的转速运行20分钟后,温度上升≤12℃；</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524" w:type="dxa"/>
            <w:noWrap w:val="0"/>
            <w:vAlign w:val="center"/>
          </w:tcPr>
          <w:p>
            <w:pPr>
              <w:rPr>
                <w:rFonts w:hint="eastAsia"/>
                <w:color w:val="auto"/>
              </w:rPr>
            </w:pPr>
            <w:r>
              <w:rPr>
                <w:rFonts w:hint="eastAsia"/>
                <w:color w:val="auto"/>
              </w:rPr>
              <w:t>转子为合金材质，确保转子内温度和离心机腔体温度一致；</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524" w:type="dxa"/>
            <w:noWrap w:val="0"/>
            <w:vAlign w:val="center"/>
          </w:tcPr>
          <w:p>
            <w:pPr>
              <w:rPr>
                <w:rFonts w:hint="eastAsia"/>
                <w:color w:val="auto"/>
              </w:rPr>
            </w:pPr>
            <w:r>
              <w:rPr>
                <w:rFonts w:hint="eastAsia"/>
                <w:color w:val="auto"/>
              </w:rPr>
              <w:t>最高转速≥13,000rpm；</w:t>
            </w:r>
          </w:p>
        </w:tc>
        <w:tc>
          <w:tcPr>
            <w:tcW w:w="1001"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524" w:type="dxa"/>
            <w:noWrap w:val="0"/>
            <w:vAlign w:val="center"/>
          </w:tcPr>
          <w:p>
            <w:pPr>
              <w:rPr>
                <w:rFonts w:hint="eastAsia"/>
                <w:color w:val="auto"/>
              </w:rPr>
            </w:pPr>
            <w:r>
              <w:rPr>
                <w:rFonts w:hint="eastAsia"/>
                <w:color w:val="auto"/>
              </w:rPr>
              <w:t>内置排水系统</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524" w:type="dxa"/>
            <w:noWrap w:val="0"/>
            <w:vAlign w:val="center"/>
          </w:tcPr>
          <w:p>
            <w:pPr>
              <w:rPr>
                <w:rFonts w:hint="eastAsia"/>
                <w:color w:val="auto"/>
              </w:rPr>
            </w:pPr>
            <w:r>
              <w:rPr>
                <w:rFonts w:hint="eastAsia"/>
                <w:color w:val="auto"/>
              </w:rPr>
              <w:t xml:space="preserve">加速至最高转速的时间：≤13秒； </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4524" w:type="dxa"/>
            <w:noWrap w:val="0"/>
            <w:vAlign w:val="center"/>
          </w:tcPr>
          <w:p>
            <w:pPr>
              <w:rPr>
                <w:rFonts w:hint="eastAsia"/>
                <w:color w:val="auto"/>
              </w:rPr>
            </w:pPr>
            <w:r>
              <w:rPr>
                <w:rFonts w:hint="eastAsia"/>
                <w:color w:val="auto"/>
              </w:rPr>
              <w:t xml:space="preserve">从最高转速减速的时间：≤12秒； </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524" w:type="dxa"/>
            <w:noWrap w:val="0"/>
            <w:vAlign w:val="center"/>
          </w:tcPr>
          <w:p>
            <w:pPr>
              <w:rPr>
                <w:rFonts w:hint="eastAsia"/>
                <w:color w:val="auto"/>
              </w:rPr>
            </w:pPr>
            <w:r>
              <w:rPr>
                <w:rFonts w:hint="eastAsia"/>
                <w:color w:val="auto"/>
              </w:rPr>
              <w:t xml:space="preserve">转子和适配器可以整体高压灭菌； </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524" w:type="dxa"/>
            <w:noWrap w:val="0"/>
            <w:vAlign w:val="center"/>
          </w:tcPr>
          <w:p>
            <w:pPr>
              <w:rPr>
                <w:rFonts w:hint="eastAsia"/>
                <w:color w:val="auto"/>
              </w:rPr>
            </w:pPr>
            <w:r>
              <w:rPr>
                <w:rFonts w:hint="eastAsia"/>
                <w:color w:val="auto"/>
              </w:rPr>
              <w:t xml:space="preserve">符合IEC1010-2-020安全标准； </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524" w:type="dxa"/>
            <w:noWrap w:val="0"/>
            <w:vAlign w:val="top"/>
          </w:tcPr>
          <w:p>
            <w:pPr>
              <w:rPr>
                <w:rFonts w:hint="eastAsia"/>
                <w:color w:val="auto"/>
              </w:rPr>
            </w:pPr>
            <w:r>
              <w:rPr>
                <w:rFonts w:hint="eastAsia"/>
                <w:color w:val="auto"/>
              </w:rPr>
              <w:t>可以加配8联PCR管转子。</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452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524"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524" w:type="dxa"/>
            <w:noWrap w:val="0"/>
            <w:vAlign w:val="center"/>
          </w:tcPr>
          <w:p>
            <w:pPr>
              <w:spacing w:line="240" w:lineRule="auto"/>
              <w:jc w:val="center"/>
              <w:rPr>
                <w:rFonts w:ascii="宋体" w:hAnsi="宋体" w:cs="宋体"/>
                <w:color w:val="auto"/>
              </w:rPr>
            </w:pPr>
            <w:r>
              <w:rPr>
                <w:rFonts w:hint="eastAsia" w:ascii="宋体" w:hAnsi="宋体" w:cs="宋体"/>
                <w:color w:val="auto"/>
              </w:rPr>
              <w:t>标准12x1.5/2.0ml角转头1个</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52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0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52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27.</w:t>
      </w:r>
      <w:r>
        <w:rPr>
          <w:rFonts w:hint="eastAsia" w:ascii="方正小标宋简体" w:hAnsi="宋体" w:eastAsia="方正小标宋简体" w:cs="宋体"/>
          <w:bCs/>
          <w:color w:val="auto"/>
          <w:kern w:val="0"/>
          <w:sz w:val="44"/>
          <w:szCs w:val="44"/>
        </w:rPr>
        <w:t>快速样本制备仪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167"/>
        <w:gridCol w:w="5305"/>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16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30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69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16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305" w:type="dxa"/>
            <w:noWrap w:val="0"/>
            <w:vAlign w:val="center"/>
          </w:tcPr>
          <w:p>
            <w:pPr>
              <w:widowControl/>
              <w:spacing w:line="240" w:lineRule="auto"/>
              <w:jc w:val="center"/>
              <w:rPr>
                <w:rFonts w:ascii="宋体" w:hAnsi="宋体" w:cs="宋体"/>
                <w:b/>
                <w:bCs/>
                <w:color w:val="auto"/>
                <w:kern w:val="0"/>
              </w:rPr>
            </w:pPr>
          </w:p>
        </w:tc>
        <w:tc>
          <w:tcPr>
            <w:tcW w:w="69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16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30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sz w:val="22"/>
                <w:szCs w:val="22"/>
              </w:rPr>
              <w:t>用于自动化破碎组织，细胞，细菌等</w:t>
            </w:r>
          </w:p>
        </w:tc>
        <w:tc>
          <w:tcPr>
            <w:tcW w:w="69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167"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30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697"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167"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305" w:type="dxa"/>
            <w:noWrap w:val="0"/>
            <w:vAlign w:val="center"/>
          </w:tcPr>
          <w:p>
            <w:pPr>
              <w:widowControl/>
              <w:spacing w:line="240" w:lineRule="auto"/>
              <w:rPr>
                <w:rFonts w:ascii="宋体" w:hAnsi="宋体" w:cs="宋体"/>
                <w:bCs/>
                <w:color w:val="auto"/>
                <w:kern w:val="0"/>
                <w:sz w:val="21"/>
                <w:szCs w:val="21"/>
              </w:rPr>
            </w:pPr>
          </w:p>
        </w:tc>
        <w:tc>
          <w:tcPr>
            <w:tcW w:w="69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167"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305" w:type="dxa"/>
            <w:noWrap w:val="0"/>
            <w:vAlign w:val="center"/>
          </w:tcPr>
          <w:p>
            <w:pPr>
              <w:widowControl/>
              <w:spacing w:line="240" w:lineRule="auto"/>
              <w:jc w:val="center"/>
              <w:rPr>
                <w:rFonts w:ascii="宋体" w:hAnsi="宋体" w:cs="宋体"/>
                <w:color w:val="auto"/>
                <w:kern w:val="0"/>
                <w:sz w:val="21"/>
                <w:szCs w:val="21"/>
              </w:rPr>
            </w:pPr>
          </w:p>
        </w:tc>
        <w:tc>
          <w:tcPr>
            <w:tcW w:w="69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16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305" w:type="dxa"/>
            <w:noWrap w:val="0"/>
            <w:vAlign w:val="center"/>
          </w:tcPr>
          <w:p>
            <w:pPr>
              <w:rPr>
                <w:rFonts w:hint="eastAsia" w:ascii="宋体" w:hAnsi="宋体"/>
                <w:color w:val="auto"/>
                <w:sz w:val="21"/>
                <w:szCs w:val="21"/>
              </w:rPr>
            </w:pPr>
            <w:r>
              <w:rPr>
                <w:rFonts w:hint="eastAsia" w:ascii="宋体" w:hAnsi="宋体"/>
                <w:color w:val="auto"/>
                <w:sz w:val="21"/>
                <w:szCs w:val="21"/>
              </w:rPr>
              <w:t>能使样品管同时产生至少3种运动方式，包括但不限于旋涡式、震荡式和抽吸式等运动方式，使微珠均匀高效的撞击样品。</w:t>
            </w:r>
          </w:p>
        </w:tc>
        <w:tc>
          <w:tcPr>
            <w:tcW w:w="697"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305" w:type="dxa"/>
            <w:noWrap w:val="0"/>
            <w:vAlign w:val="center"/>
          </w:tcPr>
          <w:p>
            <w:pPr>
              <w:rPr>
                <w:rFonts w:hint="eastAsia" w:ascii="宋体" w:hAnsi="宋体"/>
                <w:color w:val="auto"/>
                <w:sz w:val="21"/>
                <w:szCs w:val="21"/>
              </w:rPr>
            </w:pPr>
            <w:r>
              <w:rPr>
                <w:rFonts w:hint="eastAsia" w:ascii="宋体" w:hAnsi="宋体"/>
                <w:color w:val="auto"/>
                <w:sz w:val="21"/>
                <w:szCs w:val="21"/>
              </w:rPr>
              <w:t>预置程序：至少60个预置的优化程序；10个以上可保存的程序</w:t>
            </w:r>
          </w:p>
        </w:tc>
        <w:tc>
          <w:tcPr>
            <w:tcW w:w="697" w:type="dxa"/>
            <w:noWrap w:val="0"/>
            <w:vAlign w:val="center"/>
          </w:tcPr>
          <w:p>
            <w:pP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5305" w:type="dxa"/>
            <w:noWrap w:val="0"/>
            <w:vAlign w:val="center"/>
          </w:tcPr>
          <w:p>
            <w:pPr>
              <w:rPr>
                <w:rFonts w:ascii="宋体" w:hAnsi="宋体"/>
                <w:color w:val="auto"/>
                <w:sz w:val="21"/>
                <w:szCs w:val="21"/>
              </w:rPr>
            </w:pPr>
            <w:r>
              <w:rPr>
                <w:rFonts w:ascii="宋体" w:hAnsi="宋体"/>
                <w:color w:val="auto"/>
                <w:sz w:val="21"/>
                <w:szCs w:val="21"/>
              </w:rPr>
              <w:t>可随意更换选配的适配器包括：24 x 2 ml适配器；24 x 4.5 ml适配器；48 x 2 ml适配器；12 x 15 ml 适配器；2 x 50ml 适配器；24 x 2 ml冷冻型适配器；6 x 15 ml冷冻型适配器；2 x 50m冷冻型适配器；24 x 2 ml全金属适配器；12 x 15 ml全金属适配器；2 x 50 ml全金属适配器</w:t>
            </w:r>
          </w:p>
        </w:tc>
        <w:tc>
          <w:tcPr>
            <w:tcW w:w="697"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305" w:type="dxa"/>
            <w:noWrap w:val="0"/>
            <w:vAlign w:val="center"/>
          </w:tcPr>
          <w:p>
            <w:pPr>
              <w:rPr>
                <w:rFonts w:hint="eastAsia" w:ascii="宋体" w:hAnsi="宋体"/>
                <w:color w:val="auto"/>
                <w:sz w:val="21"/>
                <w:szCs w:val="21"/>
              </w:rPr>
            </w:pPr>
            <w:r>
              <w:rPr>
                <w:rFonts w:hint="eastAsia" w:ascii="宋体" w:hAnsi="宋体"/>
                <w:color w:val="auto"/>
                <w:sz w:val="21"/>
                <w:szCs w:val="21"/>
              </w:rPr>
              <w:t>程序可设置：速度，适配器，裂解介质，运行时间，暂停时间，样品重量，循环数，且运行时屏幕显示时间</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305" w:type="dxa"/>
            <w:noWrap w:val="0"/>
            <w:vAlign w:val="center"/>
          </w:tcPr>
          <w:p>
            <w:pPr>
              <w:rPr>
                <w:rFonts w:hint="eastAsia" w:ascii="宋体" w:hAnsi="宋体"/>
                <w:color w:val="auto"/>
                <w:sz w:val="21"/>
                <w:szCs w:val="21"/>
              </w:rPr>
            </w:pPr>
            <w:r>
              <w:rPr>
                <w:rFonts w:hint="eastAsia" w:ascii="宋体" w:hAnsi="宋体"/>
                <w:color w:val="auto"/>
                <w:sz w:val="21"/>
                <w:szCs w:val="21"/>
              </w:rPr>
              <w:t>升速：≤3秒内至最大速度；降速：≤3秒内停止</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305" w:type="dxa"/>
            <w:noWrap w:val="0"/>
            <w:vAlign w:val="center"/>
          </w:tcPr>
          <w:p>
            <w:pPr>
              <w:rPr>
                <w:rFonts w:hint="eastAsia" w:ascii="宋体" w:hAnsi="宋体"/>
                <w:color w:val="auto"/>
                <w:sz w:val="21"/>
                <w:szCs w:val="21"/>
              </w:rPr>
            </w:pPr>
            <w:r>
              <w:rPr>
                <w:rFonts w:hint="eastAsia" w:ascii="宋体" w:hAnsi="宋体"/>
                <w:color w:val="auto"/>
                <w:sz w:val="21"/>
                <w:szCs w:val="21"/>
              </w:rPr>
              <w:t>可配套多种裂解介质组合帮助优化裂解条件；裂解加纯化试剂盒获得各类动植物组织，血管，皮肤，骨, 根，土壤，粪便等样品的DNA，RNA，蛋白</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305" w:type="dxa"/>
            <w:noWrap w:val="0"/>
            <w:vAlign w:val="center"/>
          </w:tcPr>
          <w:p>
            <w:pPr>
              <w:rPr>
                <w:rFonts w:hint="eastAsia" w:ascii="宋体" w:hAnsi="宋体"/>
                <w:color w:val="auto"/>
                <w:sz w:val="21"/>
                <w:szCs w:val="21"/>
              </w:rPr>
            </w:pPr>
            <w:r>
              <w:rPr>
                <w:rFonts w:hint="eastAsia" w:ascii="宋体" w:hAnsi="宋体"/>
                <w:color w:val="auto"/>
                <w:sz w:val="21"/>
                <w:szCs w:val="21"/>
              </w:rPr>
              <w:t>透明顶盖，频闪灯，可观察整个样品破碎流程</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305"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305"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3.2</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30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转子（24×2.0mL）一个</w:t>
            </w:r>
          </w:p>
        </w:tc>
        <w:tc>
          <w:tcPr>
            <w:tcW w:w="69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3.3</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530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全金属转子（24×2.0mL）一个</w:t>
            </w:r>
          </w:p>
        </w:tc>
        <w:tc>
          <w:tcPr>
            <w:tcW w:w="69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530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适配器固定螺母一个</w:t>
            </w:r>
          </w:p>
        </w:tc>
        <w:tc>
          <w:tcPr>
            <w:tcW w:w="69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30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30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167"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530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16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530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16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30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69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16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530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69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16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30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16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30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16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30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28.</w:t>
      </w:r>
      <w:r>
        <w:rPr>
          <w:rFonts w:hint="eastAsia" w:ascii="方正小标宋简体" w:hAnsi="宋体" w:eastAsia="方正小标宋简体" w:cs="宋体"/>
          <w:bCs/>
          <w:color w:val="auto"/>
          <w:kern w:val="0"/>
          <w:sz w:val="44"/>
          <w:szCs w:val="44"/>
        </w:rPr>
        <w:t>水浴箱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03"/>
        <w:gridCol w:w="448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0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48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0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486"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0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48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用于水浴</w:t>
            </w:r>
            <w:r>
              <w:rPr>
                <w:rFonts w:hint="eastAsia" w:ascii="宋体" w:hAnsi="宋体" w:cs="宋体"/>
                <w:bCs/>
                <w:color w:val="auto"/>
                <w:kern w:val="0"/>
                <w:sz w:val="21"/>
                <w:szCs w:val="21"/>
              </w:rPr>
              <w:fldChar w:fldCharType="begin"/>
            </w:r>
            <w:r>
              <w:rPr>
                <w:rFonts w:hint="eastAsia" w:ascii="宋体" w:hAnsi="宋体" w:cs="宋体"/>
                <w:bCs/>
                <w:color w:val="auto"/>
                <w:kern w:val="0"/>
                <w:sz w:val="21"/>
                <w:szCs w:val="21"/>
              </w:rPr>
              <w:instrText xml:space="preserve"> HYPERLINK "http://www.so.com/s?q=%E6%81%92%E6%B8%A9&amp;ie=utf-8&amp;src=internal_wenda_recommend_textn" \t "https://wenda.so.com/q/_blank" </w:instrText>
            </w:r>
            <w:r>
              <w:rPr>
                <w:rFonts w:hint="eastAsia" w:ascii="宋体" w:hAnsi="宋体" w:cs="宋体"/>
                <w:bCs/>
                <w:color w:val="auto"/>
                <w:kern w:val="0"/>
                <w:sz w:val="21"/>
                <w:szCs w:val="21"/>
              </w:rPr>
              <w:fldChar w:fldCharType="separate"/>
            </w:r>
            <w:r>
              <w:rPr>
                <w:rFonts w:hint="eastAsia" w:ascii="宋体" w:hAnsi="宋体" w:cs="宋体"/>
                <w:bCs/>
                <w:color w:val="auto"/>
                <w:kern w:val="0"/>
                <w:sz w:val="21"/>
                <w:szCs w:val="21"/>
              </w:rPr>
              <w:t>恒温</w:t>
            </w:r>
            <w:r>
              <w:rPr>
                <w:rFonts w:hint="eastAsia" w:ascii="宋体" w:hAnsi="宋体" w:cs="宋体"/>
                <w:bCs/>
                <w:color w:val="auto"/>
                <w:kern w:val="0"/>
                <w:sz w:val="21"/>
                <w:szCs w:val="21"/>
              </w:rPr>
              <w:fldChar w:fldCharType="end"/>
            </w:r>
            <w:r>
              <w:rPr>
                <w:rFonts w:hint="eastAsia" w:ascii="宋体" w:hAnsi="宋体" w:cs="宋体"/>
                <w:bCs/>
                <w:color w:val="auto"/>
                <w:kern w:val="0"/>
                <w:sz w:val="21"/>
                <w:szCs w:val="21"/>
              </w:rPr>
              <w:t>加热样本</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03"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486"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03"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486"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03"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4486"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30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486" w:type="dxa"/>
            <w:noWrap w:val="0"/>
            <w:vAlign w:val="center"/>
          </w:tcPr>
          <w:p>
            <w:pPr>
              <w:rPr>
                <w:rFonts w:hint="eastAsia" w:ascii="宋体" w:hAnsi="宋体"/>
                <w:color w:val="auto"/>
                <w:sz w:val="21"/>
                <w:szCs w:val="21"/>
              </w:rPr>
            </w:pPr>
            <w:r>
              <w:rPr>
                <w:rFonts w:hint="eastAsia" w:ascii="宋体" w:hAnsi="宋体" w:cs="宋体"/>
                <w:bCs/>
                <w:color w:val="auto"/>
                <w:kern w:val="0"/>
                <w:lang w:bidi="ar"/>
              </w:rPr>
              <w:t>物理尺寸≤600*300*200（W*D*H）</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486" w:type="dxa"/>
            <w:noWrap w:val="0"/>
            <w:vAlign w:val="center"/>
          </w:tcPr>
          <w:p>
            <w:pPr>
              <w:spacing w:line="240" w:lineRule="auto"/>
              <w:rPr>
                <w:rFonts w:hint="eastAsia"/>
                <w:color w:val="auto"/>
                <w:sz w:val="21"/>
                <w:szCs w:val="21"/>
              </w:rPr>
            </w:pPr>
            <w:r>
              <w:rPr>
                <w:rFonts w:hint="eastAsia"/>
                <w:color w:val="auto"/>
                <w:sz w:val="21"/>
                <w:szCs w:val="21"/>
              </w:rPr>
              <w:t>控温范围：5℃～100℃</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486" w:type="dxa"/>
            <w:noWrap w:val="0"/>
            <w:vAlign w:val="center"/>
          </w:tcPr>
          <w:p>
            <w:pPr>
              <w:rPr>
                <w:rFonts w:ascii="宋体" w:hAnsi="宋体"/>
                <w:color w:val="auto"/>
                <w:sz w:val="21"/>
                <w:szCs w:val="21"/>
              </w:rPr>
            </w:pPr>
            <w:r>
              <w:rPr>
                <w:rFonts w:hint="eastAsia"/>
                <w:color w:val="auto"/>
                <w:sz w:val="21"/>
                <w:szCs w:val="21"/>
              </w:rPr>
              <w:t>温度波动：±0.2℃</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486" w:type="dxa"/>
            <w:noWrap w:val="0"/>
            <w:vAlign w:val="center"/>
          </w:tcPr>
          <w:p>
            <w:pPr>
              <w:rPr>
                <w:rFonts w:hint="eastAsia" w:ascii="宋体" w:hAnsi="宋体"/>
                <w:color w:val="auto"/>
                <w:sz w:val="21"/>
                <w:szCs w:val="21"/>
              </w:rPr>
            </w:pPr>
            <w:r>
              <w:rPr>
                <w:rFonts w:hint="eastAsia" w:ascii="宋体" w:hAnsi="宋体"/>
                <w:color w:val="auto"/>
                <w:sz w:val="21"/>
                <w:szCs w:val="21"/>
              </w:rPr>
              <w:t>跟踪报警：2℃±0.5℃</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486" w:type="dxa"/>
            <w:noWrap w:val="0"/>
            <w:vAlign w:val="center"/>
          </w:tcPr>
          <w:p>
            <w:pPr>
              <w:spacing w:line="240" w:lineRule="auto"/>
              <w:rPr>
                <w:rFonts w:hint="eastAsia"/>
                <w:color w:val="auto"/>
                <w:sz w:val="21"/>
                <w:szCs w:val="21"/>
              </w:rPr>
            </w:pPr>
            <w:r>
              <w:rPr>
                <w:rFonts w:hint="eastAsia"/>
                <w:color w:val="auto"/>
                <w:sz w:val="21"/>
                <w:szCs w:val="21"/>
              </w:rPr>
              <w:t>电压：220V/50Hz</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486" w:type="dxa"/>
            <w:noWrap w:val="0"/>
            <w:vAlign w:val="center"/>
          </w:tcPr>
          <w:p>
            <w:pPr>
              <w:spacing w:line="240" w:lineRule="auto"/>
              <w:rPr>
                <w:rFonts w:hint="eastAsia"/>
                <w:color w:val="auto"/>
                <w:sz w:val="21"/>
                <w:szCs w:val="21"/>
              </w:rPr>
            </w:pPr>
            <w:r>
              <w:rPr>
                <w:rFonts w:hint="eastAsia"/>
                <w:color w:val="auto"/>
                <w:sz w:val="21"/>
                <w:szCs w:val="21"/>
              </w:rPr>
              <w:t>功率：≥700W</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4486"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486"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4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4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4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48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486"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303"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48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30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48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30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486"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30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48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30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48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0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48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0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48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tabs>
          <w:tab w:val="right" w:pos="17689"/>
        </w:tabs>
        <w:spacing w:line="520" w:lineRule="exact"/>
        <w:jc w:val="left"/>
        <w:rPr>
          <w:rFonts w:hint="eastAsia" w:ascii="宋体" w:hAnsi="宋体" w:cs="宋体"/>
          <w:color w:val="auto"/>
          <w:kern w:val="0"/>
        </w:rPr>
      </w:pPr>
    </w:p>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29.</w:t>
      </w:r>
      <w:r>
        <w:rPr>
          <w:rFonts w:hint="eastAsia" w:ascii="方正小标宋简体" w:hAnsi="宋体" w:eastAsia="方正小标宋简体" w:cs="宋体"/>
          <w:bCs/>
          <w:color w:val="auto"/>
          <w:kern w:val="0"/>
          <w:sz w:val="44"/>
          <w:szCs w:val="44"/>
        </w:rPr>
        <w:t>恒温金属浴</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250"/>
        <w:gridCol w:w="515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7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25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1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7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7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25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52" w:type="dxa"/>
            <w:noWrap w:val="0"/>
            <w:vAlign w:val="center"/>
          </w:tcPr>
          <w:p>
            <w:pPr>
              <w:widowControl/>
              <w:spacing w:line="240" w:lineRule="auto"/>
              <w:jc w:val="center"/>
              <w:rPr>
                <w:rFonts w:ascii="宋体" w:hAnsi="宋体" w:cs="宋体"/>
                <w:b/>
                <w:bCs/>
                <w:color w:val="auto"/>
                <w:kern w:val="0"/>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25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152" w:type="dxa"/>
            <w:noWrap w:val="0"/>
            <w:vAlign w:val="center"/>
          </w:tcPr>
          <w:p>
            <w:pPr>
              <w:widowControl/>
              <w:spacing w:line="240" w:lineRule="auto"/>
              <w:ind w:firstLine="201" w:firstLineChars="100"/>
              <w:jc w:val="left"/>
              <w:rPr>
                <w:rFonts w:hint="eastAsia" w:ascii="宋体" w:hAnsi="宋体" w:cs="宋体"/>
                <w:bCs/>
                <w:color w:val="auto"/>
                <w:kern w:val="0"/>
                <w:sz w:val="21"/>
                <w:szCs w:val="21"/>
              </w:rPr>
            </w:pPr>
            <w:r>
              <w:rPr>
                <w:rFonts w:hint="eastAsia" w:ascii="宋体" w:hAnsi="宋体" w:cs="宋体"/>
                <w:bCs/>
                <w:color w:val="auto"/>
                <w:kern w:val="0"/>
                <w:sz w:val="21"/>
                <w:szCs w:val="21"/>
              </w:rPr>
              <w:t>配置温度传感器可直接对小容器内的样品进行精确控温控温。用于分子生物学实验，如酶切、蛋白质变性、融化琼脂糖、核酸扩增检测预反应等，以及其它实验的样本保存、血清快速析出、凝固等。</w:t>
            </w: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250"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152"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873"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250"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152" w:type="dxa"/>
            <w:noWrap w:val="0"/>
            <w:vAlign w:val="center"/>
          </w:tcPr>
          <w:p>
            <w:pPr>
              <w:widowControl/>
              <w:spacing w:line="240" w:lineRule="auto"/>
              <w:rPr>
                <w:rFonts w:ascii="宋体" w:hAnsi="宋体" w:cs="宋体"/>
                <w:bCs/>
                <w:color w:val="auto"/>
                <w:kern w:val="0"/>
                <w:sz w:val="21"/>
                <w:szCs w:val="21"/>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70"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250"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152" w:type="dxa"/>
            <w:noWrap w:val="0"/>
            <w:vAlign w:val="center"/>
          </w:tcPr>
          <w:p>
            <w:pPr>
              <w:widowControl/>
              <w:spacing w:line="240" w:lineRule="auto"/>
              <w:jc w:val="center"/>
              <w:rPr>
                <w:rFonts w:ascii="宋体" w:hAnsi="宋体" w:cs="宋体"/>
                <w:color w:val="auto"/>
                <w:kern w:val="0"/>
                <w:sz w:val="21"/>
                <w:szCs w:val="21"/>
              </w:rPr>
            </w:pP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25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152" w:type="dxa"/>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 xml:space="preserve">配置温度传感器控温精度：±1K </w:t>
            </w:r>
          </w:p>
        </w:tc>
        <w:tc>
          <w:tcPr>
            <w:tcW w:w="873" w:type="dxa"/>
            <w:noWrap w:val="0"/>
            <w:vAlign w:val="center"/>
          </w:tcPr>
          <w:p>
            <w:pPr>
              <w:widowControl/>
              <w:spacing w:line="240" w:lineRule="auto"/>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152" w:type="dxa"/>
            <w:noWrap w:val="0"/>
            <w:vAlign w:val="center"/>
          </w:tcPr>
          <w:p>
            <w:pPr>
              <w:spacing w:line="240" w:lineRule="auto"/>
              <w:rPr>
                <w:rFonts w:hint="eastAsia"/>
                <w:color w:val="auto"/>
                <w:sz w:val="21"/>
                <w:szCs w:val="21"/>
              </w:rPr>
            </w:pPr>
            <w:r>
              <w:rPr>
                <w:rFonts w:hint="eastAsia" w:ascii="宋体" w:hAnsi="宋体" w:cs="宋体"/>
                <w:bCs/>
                <w:color w:val="auto"/>
                <w:kern w:val="0"/>
                <w:sz w:val="21"/>
                <w:szCs w:val="21"/>
              </w:rPr>
              <w:t xml:space="preserve">可适配离心管、圆底试管、锥形管、96 孔 PCR 板、384 孔板、比色皿等 </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2250" w:type="dxa"/>
            <w:noWrap w:val="0"/>
            <w:vAlign w:val="center"/>
          </w:tcPr>
          <w:p>
            <w:pPr>
              <w:widowControl/>
              <w:spacing w:line="240" w:lineRule="auto"/>
              <w:jc w:val="center"/>
              <w:rPr>
                <w:rFonts w:hint="eastAsia" w:ascii="宋体" w:hAnsi="宋体" w:cs="宋体"/>
                <w:color w:val="auto"/>
                <w:kern w:val="0"/>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5152" w:type="dxa"/>
            <w:noWrap w:val="0"/>
            <w:vAlign w:val="center"/>
          </w:tcPr>
          <w:p>
            <w:pPr>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37℃时加热块内温度稳定性：±0.5℃</w:t>
            </w:r>
          </w:p>
        </w:tc>
        <w:tc>
          <w:tcPr>
            <w:tcW w:w="873" w:type="dxa"/>
            <w:noWrap w:val="0"/>
            <w:vAlign w:val="center"/>
          </w:tcPr>
          <w:p>
            <w:pPr>
              <w:widowControl/>
              <w:spacing w:line="240" w:lineRule="auto"/>
              <w:jc w:val="left"/>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152" w:type="dxa"/>
            <w:noWrap w:val="0"/>
            <w:vAlign w:val="center"/>
          </w:tcPr>
          <w:p>
            <w:pPr>
              <w:rPr>
                <w:rFonts w:ascii="宋体" w:hAnsi="宋体"/>
                <w:color w:val="auto"/>
                <w:sz w:val="21"/>
                <w:szCs w:val="21"/>
              </w:rPr>
            </w:pPr>
            <w:r>
              <w:rPr>
                <w:rFonts w:hint="eastAsia" w:ascii="宋体" w:hAnsi="宋体" w:cs="宋体"/>
                <w:bCs/>
                <w:color w:val="auto"/>
                <w:kern w:val="0"/>
                <w:sz w:val="21"/>
                <w:szCs w:val="21"/>
              </w:rPr>
              <w:t xml:space="preserve">定时范围：1min - 99h59min </w:t>
            </w:r>
          </w:p>
        </w:tc>
        <w:tc>
          <w:tcPr>
            <w:tcW w:w="873"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152" w:type="dxa"/>
            <w:noWrap w:val="0"/>
            <w:vAlign w:val="center"/>
          </w:tcPr>
          <w:p>
            <w:pPr>
              <w:rPr>
                <w:rFonts w:hint="eastAsia" w:ascii="宋体" w:hAnsi="宋体"/>
                <w:color w:val="auto"/>
                <w:sz w:val="21"/>
                <w:szCs w:val="21"/>
              </w:rPr>
            </w:pPr>
            <w:r>
              <w:rPr>
                <w:rFonts w:hint="eastAsia" w:ascii="宋体" w:hAnsi="宋体"/>
                <w:color w:val="auto"/>
                <w:sz w:val="21"/>
                <w:szCs w:val="21"/>
              </w:rPr>
              <w:t xml:space="preserve">外形尺寸 (W x D x H)：≥150 x 300 x 70 mm </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5152" w:type="dxa"/>
            <w:noWrap w:val="0"/>
            <w:vAlign w:val="center"/>
          </w:tcPr>
          <w:p>
            <w:pPr>
              <w:spacing w:line="240" w:lineRule="auto"/>
              <w:rPr>
                <w:rFonts w:hint="eastAsia"/>
                <w:color w:val="auto"/>
                <w:sz w:val="21"/>
                <w:szCs w:val="21"/>
              </w:rPr>
            </w:pPr>
            <w:r>
              <w:rPr>
                <w:rFonts w:hint="eastAsia"/>
                <w:color w:val="auto"/>
                <w:sz w:val="21"/>
                <w:szCs w:val="21"/>
              </w:rPr>
              <w:t xml:space="preserve">加热温度范围: 室温+5℃-120℃ </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152" w:type="dxa"/>
            <w:noWrap w:val="0"/>
            <w:vAlign w:val="center"/>
          </w:tcPr>
          <w:p>
            <w:pPr>
              <w:spacing w:line="240" w:lineRule="auto"/>
              <w:rPr>
                <w:rFonts w:hint="eastAsia"/>
                <w:color w:val="auto"/>
                <w:sz w:val="21"/>
                <w:szCs w:val="21"/>
              </w:rPr>
            </w:pPr>
            <w:r>
              <w:rPr>
                <w:rFonts w:hint="eastAsia"/>
                <w:color w:val="auto"/>
                <w:sz w:val="21"/>
                <w:szCs w:val="21"/>
              </w:rPr>
              <w:t xml:space="preserve">可放加热块数：≥2 个 </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152" w:type="dxa"/>
            <w:noWrap w:val="0"/>
            <w:vAlign w:val="center"/>
          </w:tcPr>
          <w:p>
            <w:pPr>
              <w:spacing w:line="240" w:lineRule="auto"/>
              <w:rPr>
                <w:color w:val="auto"/>
                <w:sz w:val="21"/>
                <w:szCs w:val="21"/>
              </w:rPr>
            </w:pPr>
            <w:r>
              <w:rPr>
                <w:color w:val="auto"/>
                <w:sz w:val="21"/>
                <w:szCs w:val="21"/>
              </w:rPr>
              <w:t xml:space="preserve">热输出功率: ≥250 W </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p>
        </w:tc>
        <w:tc>
          <w:tcPr>
            <w:tcW w:w="5152"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5152"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3.2</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152"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单个加热块，20孔，1.5 ml </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auto"/>
                <w:kern w:val="0"/>
                <w:sz w:val="21"/>
                <w:szCs w:val="21"/>
              </w:rPr>
            </w:pPr>
            <w:r>
              <w:rPr>
                <w:rFonts w:hint="eastAsia" w:ascii="宋体" w:hAnsi="宋体" w:cs="宋体"/>
                <w:color w:val="auto"/>
                <w:kern w:val="0"/>
                <w:sz w:val="21"/>
                <w:szCs w:val="21"/>
              </w:rPr>
              <w:t>离心管模块1个</w:t>
            </w:r>
          </w:p>
        </w:tc>
        <w:tc>
          <w:tcPr>
            <w:tcW w:w="873"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3.3</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5152"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单个加热块，20孔，2.0 ml </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auto"/>
                <w:kern w:val="0"/>
                <w:sz w:val="21"/>
                <w:szCs w:val="21"/>
              </w:rPr>
            </w:pPr>
            <w:r>
              <w:rPr>
                <w:rFonts w:hint="eastAsia" w:ascii="宋体" w:hAnsi="宋体" w:cs="宋体"/>
                <w:color w:val="auto"/>
                <w:kern w:val="0"/>
                <w:sz w:val="21"/>
                <w:szCs w:val="21"/>
              </w:rPr>
              <w:t>离心管模块1个</w:t>
            </w:r>
          </w:p>
        </w:tc>
        <w:tc>
          <w:tcPr>
            <w:tcW w:w="873"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51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5152"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0"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250"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51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25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51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25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52"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87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25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51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87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25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1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25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7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25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30.</w:t>
      </w:r>
      <w:r>
        <w:rPr>
          <w:rFonts w:hint="eastAsia" w:ascii="方正小标宋简体" w:hAnsi="宋体" w:eastAsia="方正小标宋简体" w:cs="宋体"/>
          <w:bCs/>
          <w:color w:val="auto"/>
          <w:kern w:val="0"/>
          <w:sz w:val="44"/>
          <w:szCs w:val="44"/>
        </w:rPr>
        <w:t>微量高速冷冻离心机-生物安全型</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078"/>
        <w:gridCol w:w="5694"/>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7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69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7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7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694" w:type="dxa"/>
            <w:noWrap w:val="0"/>
            <w:vAlign w:val="center"/>
          </w:tcPr>
          <w:p>
            <w:pPr>
              <w:widowControl/>
              <w:spacing w:line="240" w:lineRule="auto"/>
              <w:jc w:val="center"/>
              <w:rPr>
                <w:rFonts w:ascii="宋体" w:hAnsi="宋体" w:cs="宋体"/>
                <w:b/>
                <w:bCs/>
                <w:color w:val="auto"/>
                <w:kern w:val="0"/>
              </w:rPr>
            </w:pPr>
          </w:p>
        </w:tc>
        <w:tc>
          <w:tcPr>
            <w:tcW w:w="72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7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69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用于离心分离，样品处理及样品制备操作</w:t>
            </w:r>
          </w:p>
        </w:tc>
        <w:tc>
          <w:tcPr>
            <w:tcW w:w="72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78"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694"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729"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078"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694" w:type="dxa"/>
            <w:noWrap w:val="0"/>
            <w:vAlign w:val="center"/>
          </w:tcPr>
          <w:p>
            <w:pPr>
              <w:widowControl/>
              <w:spacing w:line="240" w:lineRule="auto"/>
              <w:rPr>
                <w:rFonts w:ascii="宋体" w:hAnsi="宋体" w:cs="宋体"/>
                <w:bCs/>
                <w:color w:val="auto"/>
                <w:kern w:val="0"/>
                <w:sz w:val="21"/>
                <w:szCs w:val="21"/>
              </w:rPr>
            </w:pPr>
          </w:p>
        </w:tc>
        <w:tc>
          <w:tcPr>
            <w:tcW w:w="72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44"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078"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p>
        </w:tc>
        <w:tc>
          <w:tcPr>
            <w:tcW w:w="5694" w:type="dxa"/>
            <w:noWrap w:val="0"/>
            <w:vAlign w:val="center"/>
          </w:tcPr>
          <w:p>
            <w:pPr>
              <w:widowControl/>
              <w:spacing w:line="240" w:lineRule="auto"/>
              <w:jc w:val="center"/>
              <w:rPr>
                <w:rFonts w:ascii="宋体" w:hAnsi="宋体" w:cs="宋体"/>
                <w:color w:val="auto"/>
                <w:kern w:val="0"/>
                <w:sz w:val="21"/>
                <w:szCs w:val="21"/>
              </w:rPr>
            </w:pPr>
          </w:p>
        </w:tc>
        <w:tc>
          <w:tcPr>
            <w:tcW w:w="72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07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694" w:type="dxa"/>
            <w:noWrap w:val="0"/>
            <w:vAlign w:val="center"/>
          </w:tcPr>
          <w:p>
            <w:pPr>
              <w:rPr>
                <w:rFonts w:hint="eastAsia" w:ascii="宋体" w:hAnsi="宋体"/>
                <w:color w:val="auto"/>
                <w:sz w:val="21"/>
                <w:szCs w:val="21"/>
              </w:rPr>
            </w:pPr>
            <w:r>
              <w:rPr>
                <w:rFonts w:hint="eastAsia"/>
                <w:color w:val="auto"/>
                <w:sz w:val="21"/>
                <w:szCs w:val="21"/>
              </w:rPr>
              <w:t xml:space="preserve">转子和适配器可以整体高压灭菌, </w:t>
            </w:r>
          </w:p>
        </w:tc>
        <w:tc>
          <w:tcPr>
            <w:tcW w:w="72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694" w:type="dxa"/>
            <w:noWrap w:val="0"/>
            <w:vAlign w:val="center"/>
          </w:tcPr>
          <w:p>
            <w:pPr>
              <w:spacing w:line="240" w:lineRule="auto"/>
              <w:rPr>
                <w:rFonts w:hint="eastAsia"/>
                <w:color w:val="auto"/>
                <w:sz w:val="21"/>
                <w:szCs w:val="21"/>
              </w:rPr>
            </w:pPr>
            <w:r>
              <w:rPr>
                <w:rFonts w:hint="eastAsia"/>
                <w:color w:val="auto"/>
                <w:sz w:val="21"/>
                <w:szCs w:val="21"/>
              </w:rPr>
              <w:t>转子为合金材质，转子内温度和离心机腔体温度一致；</w:t>
            </w:r>
          </w:p>
        </w:tc>
        <w:tc>
          <w:tcPr>
            <w:tcW w:w="72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5694" w:type="dxa"/>
            <w:noWrap w:val="0"/>
            <w:vAlign w:val="center"/>
          </w:tcPr>
          <w:p>
            <w:pPr>
              <w:spacing w:line="240" w:lineRule="auto"/>
              <w:rPr>
                <w:rFonts w:hint="eastAsia"/>
                <w:color w:val="auto"/>
                <w:sz w:val="21"/>
                <w:szCs w:val="21"/>
              </w:rPr>
            </w:pPr>
            <w:r>
              <w:rPr>
                <w:rFonts w:hint="eastAsia"/>
                <w:color w:val="auto"/>
                <w:sz w:val="21"/>
                <w:szCs w:val="21"/>
              </w:rPr>
              <w:t>离心机具备快速制冷功能，从 21°C降温至4°C≤8分钟。</w:t>
            </w:r>
          </w:p>
        </w:tc>
        <w:tc>
          <w:tcPr>
            <w:tcW w:w="729"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694" w:type="dxa"/>
            <w:noWrap w:val="0"/>
            <w:vAlign w:val="center"/>
          </w:tcPr>
          <w:p>
            <w:pPr>
              <w:rPr>
                <w:rFonts w:hint="eastAsia" w:ascii="宋体" w:hAnsi="宋体"/>
                <w:color w:val="auto"/>
                <w:sz w:val="21"/>
                <w:szCs w:val="21"/>
              </w:rPr>
            </w:pPr>
            <w:r>
              <w:rPr>
                <w:rFonts w:hint="eastAsia" w:ascii="宋体" w:hAnsi="宋体"/>
                <w:color w:val="auto"/>
                <w:sz w:val="21"/>
                <w:szCs w:val="21"/>
              </w:rPr>
              <w:t>内置排水系统</w:t>
            </w:r>
          </w:p>
        </w:tc>
        <w:tc>
          <w:tcPr>
            <w:tcW w:w="72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694" w:type="dxa"/>
            <w:noWrap w:val="0"/>
            <w:vAlign w:val="center"/>
          </w:tcPr>
          <w:p>
            <w:pPr>
              <w:rPr>
                <w:rFonts w:hint="eastAsia" w:ascii="宋体" w:hAnsi="宋体"/>
                <w:color w:val="auto"/>
                <w:sz w:val="21"/>
                <w:szCs w:val="21"/>
              </w:rPr>
            </w:pPr>
            <w:r>
              <w:rPr>
                <w:rFonts w:hint="eastAsia"/>
                <w:color w:val="auto"/>
                <w:sz w:val="21"/>
                <w:szCs w:val="21"/>
              </w:rPr>
              <w:t>符合IEC 1010-2-020 的安全标准,</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5694" w:type="dxa"/>
            <w:noWrap w:val="0"/>
            <w:vAlign w:val="center"/>
          </w:tcPr>
          <w:p>
            <w:pPr>
              <w:rPr>
                <w:rFonts w:hint="eastAsia" w:ascii="宋体" w:hAnsi="宋体"/>
                <w:color w:val="auto"/>
                <w:sz w:val="21"/>
                <w:szCs w:val="21"/>
              </w:rPr>
            </w:pPr>
            <w:r>
              <w:rPr>
                <w:rFonts w:hint="eastAsia"/>
                <w:color w:val="auto"/>
                <w:sz w:val="21"/>
                <w:szCs w:val="21"/>
              </w:rPr>
              <w:t>温控范围：-10°C至+40°C，并可在离心机运行期间设置。</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参数7</w:t>
            </w:r>
          </w:p>
        </w:tc>
        <w:tc>
          <w:tcPr>
            <w:tcW w:w="5694" w:type="dxa"/>
            <w:noWrap w:val="0"/>
            <w:vAlign w:val="center"/>
          </w:tcPr>
          <w:p>
            <w:pPr>
              <w:rPr>
                <w:rFonts w:hint="eastAsia" w:ascii="宋体" w:hAnsi="宋体"/>
                <w:color w:val="auto"/>
                <w:sz w:val="21"/>
                <w:szCs w:val="21"/>
              </w:rPr>
            </w:pPr>
            <w:r>
              <w:rPr>
                <w:rFonts w:hint="eastAsia"/>
                <w:color w:val="auto"/>
                <w:sz w:val="21"/>
                <w:szCs w:val="21"/>
              </w:rPr>
              <w:t>转速≥15,000rpm，最大离心力≥21000g，水平转子离心力≥16000g</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694" w:type="dxa"/>
            <w:noWrap w:val="0"/>
            <w:vAlign w:val="center"/>
          </w:tcPr>
          <w:p>
            <w:pPr>
              <w:rPr>
                <w:rFonts w:hint="eastAsia" w:ascii="宋体" w:hAnsi="宋体"/>
                <w:color w:val="auto"/>
                <w:sz w:val="21"/>
                <w:szCs w:val="21"/>
              </w:rPr>
            </w:pPr>
            <w:r>
              <w:rPr>
                <w:rFonts w:hint="eastAsia"/>
                <w:color w:val="auto"/>
                <w:sz w:val="21"/>
                <w:szCs w:val="21"/>
              </w:rPr>
              <w:t>具备定速计时功能；</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694" w:type="dxa"/>
            <w:noWrap w:val="0"/>
            <w:vAlign w:val="center"/>
          </w:tcPr>
          <w:p>
            <w:pPr>
              <w:rPr>
                <w:rFonts w:hint="eastAsia" w:ascii="宋体" w:hAnsi="宋体"/>
                <w:color w:val="auto"/>
                <w:sz w:val="21"/>
                <w:szCs w:val="21"/>
              </w:rPr>
            </w:pPr>
            <w:r>
              <w:rPr>
                <w:rFonts w:hint="eastAsia"/>
                <w:color w:val="auto"/>
                <w:sz w:val="21"/>
                <w:szCs w:val="21"/>
              </w:rPr>
              <w:t>时间设定 : 30秒– 9小时59分钟，可连续离心；</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5694" w:type="dxa"/>
            <w:noWrap w:val="0"/>
            <w:vAlign w:val="center"/>
          </w:tcPr>
          <w:p>
            <w:pPr>
              <w:rPr>
                <w:rFonts w:hint="eastAsia" w:ascii="宋体" w:hAnsi="宋体" w:cs="Arial"/>
                <w:color w:val="auto"/>
                <w:sz w:val="21"/>
                <w:szCs w:val="21"/>
              </w:rPr>
            </w:pPr>
            <w:r>
              <w:rPr>
                <w:rFonts w:hint="eastAsia"/>
                <w:color w:val="auto"/>
                <w:sz w:val="21"/>
                <w:szCs w:val="21"/>
              </w:rPr>
              <w:t>具备待机冷却功能 ，即使在待机状态下可持续制冷≥8小时。</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参数11</w:t>
            </w:r>
          </w:p>
        </w:tc>
        <w:tc>
          <w:tcPr>
            <w:tcW w:w="5694" w:type="dxa"/>
            <w:noWrap w:val="0"/>
            <w:vAlign w:val="center"/>
          </w:tcPr>
          <w:p>
            <w:pPr>
              <w:rPr>
                <w:rFonts w:hint="eastAsia" w:ascii="宋体" w:hAnsi="宋体" w:cs="Arial"/>
                <w:color w:val="auto"/>
                <w:sz w:val="21"/>
                <w:szCs w:val="21"/>
              </w:rPr>
            </w:pPr>
            <w:r>
              <w:rPr>
                <w:rFonts w:hint="eastAsia"/>
                <w:color w:val="auto"/>
                <w:sz w:val="21"/>
                <w:szCs w:val="21"/>
              </w:rPr>
              <w:t>可以加配5ml转子，96*0.2PCR管转子</w:t>
            </w:r>
          </w:p>
        </w:tc>
        <w:tc>
          <w:tcPr>
            <w:tcW w:w="72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078"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569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07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694"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07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694" w:type="dxa"/>
            <w:noWrap w:val="0"/>
            <w:vAlign w:val="center"/>
          </w:tcPr>
          <w:p>
            <w:pPr>
              <w:spacing w:line="240" w:lineRule="auto"/>
              <w:jc w:val="center"/>
              <w:rPr>
                <w:rFonts w:ascii="宋体" w:hAnsi="宋体" w:cs="宋体"/>
                <w:color w:val="auto"/>
              </w:rPr>
            </w:pPr>
            <w:r>
              <w:rPr>
                <w:rFonts w:hint="eastAsia" w:ascii="宋体" w:hAnsi="宋体" w:cs="宋体"/>
                <w:color w:val="auto"/>
              </w:rPr>
              <w:t>标准24x1.5/2.0ml气密性角转头1个</w:t>
            </w:r>
          </w:p>
        </w:tc>
        <w:tc>
          <w:tcPr>
            <w:tcW w:w="729"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07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69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7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69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07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69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7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ascii="方正小标宋简体" w:hAnsi="宋体" w:eastAsia="方正小标宋简体" w:cs="Arial"/>
          <w:bCs/>
          <w:color w:val="auto"/>
          <w:sz w:val="44"/>
          <w:szCs w:val="44"/>
        </w:rPr>
      </w:pPr>
      <w:r>
        <w:rPr>
          <w:rFonts w:hint="eastAsia" w:ascii="方正小标宋简体" w:hAnsi="宋体" w:eastAsia="方正小标宋简体" w:cs="Arial"/>
          <w:bCs/>
          <w:color w:val="auto"/>
          <w:sz w:val="44"/>
          <w:szCs w:val="44"/>
          <w:lang w:val="en-US" w:eastAsia="zh-CN"/>
        </w:rPr>
        <w:t>31.</w:t>
      </w:r>
      <w:r>
        <w:rPr>
          <w:rFonts w:hint="eastAsia" w:ascii="方正小标宋简体" w:hAnsi="宋体" w:eastAsia="方正小标宋简体" w:cs="Arial"/>
          <w:bCs/>
          <w:color w:val="auto"/>
          <w:sz w:val="44"/>
          <w:szCs w:val="44"/>
        </w:rPr>
        <w:t>高压灭菌器（生物安全型）</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Arial"/>
          <w:bCs/>
          <w:color w:val="auto"/>
          <w:sz w:val="44"/>
          <w:szCs w:val="44"/>
          <w:lang w:eastAsia="zh-CN"/>
        </w:rPr>
        <w:t>技术要求</w:t>
      </w:r>
    </w:p>
    <w:tbl>
      <w:tblPr>
        <w:tblStyle w:val="2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034"/>
        <w:gridCol w:w="6148"/>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9"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034"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技术参数和性能名称</w:t>
            </w:r>
          </w:p>
        </w:tc>
        <w:tc>
          <w:tcPr>
            <w:tcW w:w="6148"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693"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034"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使用需求</w:t>
            </w:r>
          </w:p>
        </w:tc>
        <w:tc>
          <w:tcPr>
            <w:tcW w:w="6148" w:type="dxa"/>
            <w:vAlign w:val="center"/>
          </w:tcPr>
          <w:p>
            <w:pPr>
              <w:widowControl/>
              <w:spacing w:line="240" w:lineRule="auto"/>
              <w:jc w:val="center"/>
              <w:rPr>
                <w:rFonts w:ascii="宋体" w:hAnsi="宋体" w:cs="宋体"/>
                <w:b/>
                <w:bCs/>
                <w:color w:val="auto"/>
                <w:kern w:val="0"/>
              </w:rPr>
            </w:pPr>
          </w:p>
        </w:tc>
        <w:tc>
          <w:tcPr>
            <w:tcW w:w="693" w:type="dxa"/>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034"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olor w:val="auto"/>
                <w:sz w:val="21"/>
                <w:szCs w:val="21"/>
              </w:rPr>
              <w:t>用于各大实验室，如分子生物学、细胞生物学、生物制药等实验室，培养皿，培养基，消耗品等的消毒，灭菌。</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shd w:val="clear" w:color="000000" w:fill="auto"/>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034" w:type="dxa"/>
            <w:shd w:val="clear" w:color="000000"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6148" w:type="dxa"/>
            <w:shd w:val="clear" w:color="000000" w:fill="auto"/>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生物样本、玻璃器皿、培养基等</w:t>
            </w:r>
          </w:p>
        </w:tc>
        <w:tc>
          <w:tcPr>
            <w:tcW w:w="693" w:type="dxa"/>
            <w:shd w:val="clear" w:color="000000" w:fill="auto"/>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shd w:val="clear" w:color="000000" w:fill="auto"/>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1.3</w:t>
            </w:r>
          </w:p>
        </w:tc>
        <w:tc>
          <w:tcPr>
            <w:tcW w:w="2034" w:type="dxa"/>
            <w:shd w:val="clear" w:color="000000"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特殊功能需求</w:t>
            </w:r>
          </w:p>
        </w:tc>
        <w:tc>
          <w:tcPr>
            <w:tcW w:w="6148" w:type="dxa"/>
            <w:shd w:val="clear" w:color="000000" w:fill="auto"/>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容积≥</w:t>
            </w:r>
            <w:r>
              <w:rPr>
                <w:rFonts w:ascii="宋体" w:hAnsi="宋体" w:cs="宋体"/>
                <w:color w:val="auto"/>
                <w:kern w:val="0"/>
                <w:sz w:val="21"/>
                <w:szCs w:val="21"/>
              </w:rPr>
              <w:t>105L</w:t>
            </w:r>
            <w:r>
              <w:rPr>
                <w:rFonts w:hint="eastAsia" w:ascii="宋体" w:hAnsi="宋体" w:cs="宋体"/>
                <w:color w:val="auto"/>
                <w:kern w:val="0"/>
                <w:sz w:val="21"/>
                <w:szCs w:val="21"/>
              </w:rPr>
              <w:t>，适用于大件物品的灭菌消毒处理</w:t>
            </w:r>
          </w:p>
        </w:tc>
        <w:tc>
          <w:tcPr>
            <w:tcW w:w="693" w:type="dxa"/>
            <w:shd w:val="clear" w:color="000000" w:fill="auto"/>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2</w:t>
            </w:r>
          </w:p>
        </w:tc>
        <w:tc>
          <w:tcPr>
            <w:tcW w:w="2034"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p>
        </w:tc>
        <w:tc>
          <w:tcPr>
            <w:tcW w:w="6148" w:type="dxa"/>
            <w:vAlign w:val="center"/>
          </w:tcPr>
          <w:p>
            <w:pPr>
              <w:widowControl/>
              <w:spacing w:line="240" w:lineRule="auto"/>
              <w:jc w:val="left"/>
              <w:rPr>
                <w:rFonts w:ascii="宋体" w:hAnsi="宋体" w:cs="宋体"/>
                <w:color w:val="auto"/>
                <w:kern w:val="0"/>
                <w:sz w:val="21"/>
                <w:szCs w:val="21"/>
              </w:rPr>
            </w:pP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034"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参数1</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有效容积：大于≥1</w:t>
            </w:r>
            <w:r>
              <w:rPr>
                <w:rFonts w:ascii="宋体" w:hAnsi="宋体" w:cs="宋体"/>
                <w:color w:val="auto"/>
                <w:kern w:val="0"/>
                <w:sz w:val="21"/>
                <w:szCs w:val="21"/>
              </w:rPr>
              <w:t>05</w:t>
            </w:r>
            <w:r>
              <w:rPr>
                <w:rFonts w:hint="eastAsia" w:ascii="宋体" w:hAnsi="宋体" w:cs="宋体"/>
                <w:color w:val="auto"/>
                <w:kern w:val="0"/>
                <w:sz w:val="21"/>
                <w:szCs w:val="21"/>
              </w:rPr>
              <w:t>L，内腔直径≥420mm，可容纳大型物品</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2.2</w:t>
            </w:r>
          </w:p>
        </w:tc>
        <w:tc>
          <w:tcPr>
            <w:tcW w:w="2034"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参数2</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门锁系统：穿透式针式锁、电动锁、磁力锁三重保障，确保仪器在运行期间盖子不会被打开</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2034"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lang w:val="zh-CN"/>
              </w:rPr>
              <w:t>▲</w:t>
            </w:r>
            <w:r>
              <w:rPr>
                <w:rFonts w:hint="eastAsia" w:ascii="宋体" w:hAnsi="宋体" w:cs="Arial"/>
                <w:b/>
                <w:bCs/>
                <w:color w:val="auto"/>
                <w:sz w:val="21"/>
                <w:szCs w:val="21"/>
              </w:rPr>
              <w:t>参数3</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脉冲排汽系统：电脑控制脉冲阀门高速开合，在保证液体培养基不暴沸的前提下，加速腔内排汽，使灭菌腔更快地冷却下来，并有效防止危险性气溶胶喷出</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2.4</w:t>
            </w:r>
          </w:p>
        </w:tc>
        <w:tc>
          <w:tcPr>
            <w:tcW w:w="2034"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lang w:val="zh-CN"/>
              </w:rPr>
              <w:t>▲</w:t>
            </w:r>
            <w:r>
              <w:rPr>
                <w:rFonts w:hint="eastAsia" w:ascii="宋体" w:hAnsi="宋体" w:cs="Arial"/>
                <w:b/>
                <w:bCs/>
                <w:color w:val="auto"/>
                <w:sz w:val="21"/>
                <w:szCs w:val="21"/>
              </w:rPr>
              <w:t>参数4</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危险性疾病防御双路排气方式：分离式双路排气系统，后置低温未灭菌气溶胶排气系统，前置高温气溶胶排气系统，防止在100度之前未灭菌的致病性气溶胶以及病毒排放到空气中；</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2.5</w:t>
            </w:r>
          </w:p>
        </w:tc>
        <w:tc>
          <w:tcPr>
            <w:tcW w:w="2034"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lang w:val="zh-CN"/>
              </w:rPr>
              <w:t>▲</w:t>
            </w:r>
            <w:r>
              <w:rPr>
                <w:rFonts w:hint="eastAsia" w:ascii="宋体" w:hAnsi="宋体" w:cs="Arial"/>
                <w:b/>
                <w:bCs/>
                <w:color w:val="auto"/>
                <w:sz w:val="21"/>
                <w:szCs w:val="21"/>
              </w:rPr>
              <w:t>参数5</w:t>
            </w:r>
          </w:p>
        </w:tc>
        <w:tc>
          <w:tcPr>
            <w:tcW w:w="6148" w:type="dxa"/>
            <w:vAlign w:val="center"/>
          </w:tcPr>
          <w:p>
            <w:pPr>
              <w:widowControl/>
              <w:spacing w:line="240" w:lineRule="auto"/>
              <w:jc w:val="left"/>
              <w:rPr>
                <w:rFonts w:ascii="宋体" w:hAnsi="宋体" w:eastAsia="PMingLiU" w:cs="宋体"/>
                <w:color w:val="auto"/>
                <w:kern w:val="0"/>
                <w:sz w:val="21"/>
                <w:szCs w:val="21"/>
                <w:lang w:eastAsia="zh-TW"/>
              </w:rPr>
            </w:pPr>
            <w:r>
              <w:rPr>
                <w:rFonts w:hint="eastAsia" w:ascii="宋体" w:hAnsi="宋体" w:cs="宋体"/>
                <w:color w:val="auto"/>
                <w:kern w:val="0"/>
                <w:sz w:val="21"/>
                <w:szCs w:val="21"/>
              </w:rPr>
              <w:t>仪器标配</w:t>
            </w:r>
            <w:r>
              <w:rPr>
                <w:rFonts w:hint="eastAsia" w:ascii="宋体" w:hAnsi="宋体" w:cs="宋体"/>
                <w:color w:val="auto"/>
                <w:kern w:val="0"/>
                <w:sz w:val="21"/>
                <w:szCs w:val="21"/>
                <w:lang w:eastAsia="zh-TW"/>
              </w:rPr>
              <w:t>手动排气阀及电子排气阀，双重保护，当电子排气阀失效后可启用手动排气阀泄压</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034" w:type="dxa"/>
            <w:vAlign w:val="center"/>
          </w:tcPr>
          <w:p>
            <w:pPr>
              <w:jc w:val="center"/>
              <w:rPr>
                <w:rFonts w:ascii="宋体" w:hAnsi="宋体"/>
                <w:color w:val="auto"/>
                <w:kern w:val="0"/>
                <w:sz w:val="20"/>
              </w:rPr>
            </w:pPr>
            <w:r>
              <w:rPr>
                <w:rFonts w:hint="eastAsia" w:ascii="宋体" w:hAnsi="宋体" w:cs="Arial"/>
                <w:b/>
                <w:bCs/>
                <w:color w:val="auto"/>
                <w:sz w:val="21"/>
                <w:szCs w:val="21"/>
              </w:rPr>
              <w:t>参数6</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多种灭菌模式：温度设定多样化，温度设定范围可以从45℃到135℃分级设定或者设定一个温度：包括培养基保温模式，液体灭菌模式，正常灭菌等</w:t>
            </w:r>
          </w:p>
        </w:tc>
        <w:tc>
          <w:tcPr>
            <w:tcW w:w="693"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034" w:type="dxa"/>
            <w:vAlign w:val="center"/>
          </w:tcPr>
          <w:p>
            <w:pPr>
              <w:jc w:val="center"/>
              <w:rPr>
                <w:rFonts w:ascii="宋体" w:hAnsi="宋体"/>
                <w:color w:val="auto"/>
                <w:kern w:val="0"/>
                <w:sz w:val="20"/>
              </w:rPr>
            </w:pPr>
            <w:r>
              <w:rPr>
                <w:rFonts w:hint="eastAsia" w:ascii="宋体" w:hAnsi="宋体" w:cs="Arial"/>
                <w:b/>
                <w:bCs/>
                <w:color w:val="auto"/>
                <w:sz w:val="21"/>
                <w:szCs w:val="21"/>
              </w:rPr>
              <w:t>参数7</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双联安全锁：同时检测腔内压力和温度，以此判断腔内残余空气是否排放干净，只有当两者都在安全范围内才释放箱盖，确保最大的安全性</w:t>
            </w:r>
          </w:p>
        </w:tc>
        <w:tc>
          <w:tcPr>
            <w:tcW w:w="693" w:type="dxa"/>
            <w:vAlign w:val="center"/>
          </w:tcPr>
          <w:p>
            <w:pPr>
              <w:widowControl/>
              <w:spacing w:line="240" w:lineRule="auto"/>
              <w:jc w:val="center"/>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034" w:type="dxa"/>
            <w:vAlign w:val="center"/>
          </w:tcPr>
          <w:p>
            <w:pPr>
              <w:jc w:val="center"/>
              <w:rPr>
                <w:color w:val="auto"/>
              </w:rPr>
            </w:pPr>
            <w:r>
              <w:rPr>
                <w:rFonts w:hint="eastAsia" w:ascii="宋体" w:hAnsi="宋体" w:cs="Arial"/>
                <w:b/>
                <w:bCs/>
                <w:color w:val="auto"/>
                <w:sz w:val="21"/>
                <w:szCs w:val="21"/>
              </w:rPr>
              <w:t>参数8</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灭菌温度：105℃-135℃，加热温度：45－104℃ ，灭菌时间：1-250min</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2.9</w:t>
            </w:r>
          </w:p>
        </w:tc>
        <w:tc>
          <w:tcPr>
            <w:tcW w:w="2034" w:type="dxa"/>
            <w:vAlign w:val="center"/>
          </w:tcPr>
          <w:p>
            <w:pPr>
              <w:jc w:val="center"/>
              <w:rPr>
                <w:color w:val="auto"/>
              </w:rPr>
            </w:pPr>
            <w:r>
              <w:rPr>
                <w:rFonts w:hint="eastAsia" w:ascii="宋体" w:hAnsi="宋体" w:cs="Arial"/>
                <w:b/>
                <w:bCs/>
                <w:color w:val="auto"/>
                <w:sz w:val="21"/>
                <w:szCs w:val="21"/>
              </w:rPr>
              <w:t>参数9</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标配强制冷却系统，大大减少冷却时间</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2.10</w:t>
            </w:r>
          </w:p>
        </w:tc>
        <w:tc>
          <w:tcPr>
            <w:tcW w:w="2034" w:type="dxa"/>
            <w:vAlign w:val="center"/>
          </w:tcPr>
          <w:p>
            <w:pPr>
              <w:jc w:val="center"/>
              <w:rPr>
                <w:color w:val="auto"/>
              </w:rPr>
            </w:pPr>
            <w:r>
              <w:rPr>
                <w:rFonts w:hint="eastAsia" w:ascii="宋体" w:hAnsi="宋体" w:cs="Arial"/>
                <w:b/>
                <w:bCs/>
                <w:color w:val="auto"/>
                <w:sz w:val="21"/>
                <w:szCs w:val="21"/>
              </w:rPr>
              <w:t>参数10</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最大操作压力：0.26 MPa</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.11</w:t>
            </w:r>
          </w:p>
        </w:tc>
        <w:tc>
          <w:tcPr>
            <w:tcW w:w="2034"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1</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安全装置：安全功能设置及示警系统：双联锁盖系统、双联排气检查系统、超温超压断电、锁盖检测、温敏探头断路检测、压力安全阀、灭菌时间读数定时器、加热故障检测、缺水保护装置、漏电断路器等；</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r>
              <w:rPr>
                <w:rFonts w:ascii="宋体" w:hAnsi="宋体" w:cs="宋体"/>
                <w:color w:val="auto"/>
                <w:kern w:val="0"/>
              </w:rPr>
              <w:t>2</w:t>
            </w:r>
          </w:p>
        </w:tc>
        <w:tc>
          <w:tcPr>
            <w:tcW w:w="2034" w:type="dxa"/>
            <w:vAlign w:val="center"/>
          </w:tcPr>
          <w:p>
            <w:pPr>
              <w:jc w:val="center"/>
              <w:rPr>
                <w:color w:val="auto"/>
              </w:rPr>
            </w:pPr>
            <w:r>
              <w:rPr>
                <w:rFonts w:hint="eastAsia" w:ascii="宋体" w:hAnsi="宋体" w:cs="Arial"/>
                <w:b/>
                <w:bCs/>
                <w:color w:val="auto"/>
                <w:sz w:val="21"/>
                <w:szCs w:val="21"/>
              </w:rPr>
              <w:t>参数1</w:t>
            </w:r>
            <w:r>
              <w:rPr>
                <w:rFonts w:ascii="宋体" w:hAnsi="宋体" w:cs="Arial"/>
                <w:b/>
                <w:bCs/>
                <w:color w:val="auto"/>
                <w:sz w:val="21"/>
                <w:szCs w:val="21"/>
              </w:rPr>
              <w:t>2</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时间显示：灭菌1－999分钟，温度显示：5-137℃，压力计量程：0-0.4Mpa；</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r>
              <w:rPr>
                <w:rFonts w:ascii="宋体" w:hAnsi="宋体" w:cs="宋体"/>
                <w:color w:val="auto"/>
                <w:kern w:val="0"/>
              </w:rPr>
              <w:t>3</w:t>
            </w:r>
          </w:p>
        </w:tc>
        <w:tc>
          <w:tcPr>
            <w:tcW w:w="2034"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3</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明亮指示灯设置在操作面板的上部，根据压力状态（正常压力/实际工作压力）.指示灯光颜色变化；</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.14</w:t>
            </w:r>
          </w:p>
        </w:tc>
        <w:tc>
          <w:tcPr>
            <w:tcW w:w="2034"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4</w:t>
            </w:r>
          </w:p>
        </w:tc>
        <w:tc>
          <w:tcPr>
            <w:tcW w:w="6148" w:type="dxa"/>
          </w:tcPr>
          <w:p>
            <w:pPr>
              <w:rPr>
                <w:rFonts w:ascii="宋体" w:hAnsi="宋体" w:cs="宋体"/>
                <w:color w:val="auto"/>
                <w:kern w:val="0"/>
                <w:sz w:val="21"/>
                <w:szCs w:val="21"/>
              </w:rPr>
            </w:pPr>
            <w:r>
              <w:rPr>
                <w:rFonts w:hint="eastAsia" w:ascii="宋体" w:hAnsi="宋体" w:cs="宋体"/>
                <w:color w:val="auto"/>
                <w:kern w:val="0"/>
                <w:sz w:val="21"/>
                <w:szCs w:val="21"/>
              </w:rPr>
              <w:t>分离式温度传感器：位于腔体中部，与加热圈分离，实时探测腔内实际温度，不受加热圈温度影响；</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.15</w:t>
            </w:r>
          </w:p>
        </w:tc>
        <w:tc>
          <w:tcPr>
            <w:tcW w:w="2034"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5</w:t>
            </w:r>
          </w:p>
        </w:tc>
        <w:tc>
          <w:tcPr>
            <w:tcW w:w="6148" w:type="dxa"/>
          </w:tcPr>
          <w:p>
            <w:pPr>
              <w:rPr>
                <w:rFonts w:ascii="宋体" w:hAnsi="宋体" w:cs="宋体"/>
                <w:color w:val="auto"/>
                <w:kern w:val="0"/>
                <w:sz w:val="21"/>
                <w:szCs w:val="21"/>
              </w:rPr>
            </w:pPr>
            <w:r>
              <w:rPr>
                <w:rFonts w:hint="eastAsia" w:ascii="宋体" w:hAnsi="宋体" w:cs="宋体"/>
                <w:color w:val="auto"/>
                <w:kern w:val="0"/>
                <w:sz w:val="21"/>
                <w:szCs w:val="21"/>
              </w:rPr>
              <w:t>密封圈防护系统：盖子分离式水平安装设计，采用垂直向上打开箱盖设计</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w:t>
            </w:r>
          </w:p>
        </w:tc>
        <w:tc>
          <w:tcPr>
            <w:tcW w:w="2034" w:type="dxa"/>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6148" w:type="dxa"/>
            <w:vAlign w:val="center"/>
          </w:tcPr>
          <w:p>
            <w:pPr>
              <w:widowControl/>
              <w:spacing w:line="240" w:lineRule="auto"/>
              <w:jc w:val="left"/>
              <w:rPr>
                <w:rFonts w:ascii="宋体" w:hAnsi="宋体" w:cs="宋体"/>
                <w:color w:val="auto"/>
                <w:kern w:val="0"/>
                <w:sz w:val="21"/>
                <w:szCs w:val="21"/>
              </w:rPr>
            </w:pP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034"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灭菌器主机一台</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3.2</w:t>
            </w:r>
          </w:p>
        </w:tc>
        <w:tc>
          <w:tcPr>
            <w:tcW w:w="2034"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配置2</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不锈钢提篮2个</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3.3</w:t>
            </w:r>
          </w:p>
        </w:tc>
        <w:tc>
          <w:tcPr>
            <w:tcW w:w="2034"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配置3</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排水软管1根</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2034"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配置4</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排气瓶1个</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w:t>
            </w:r>
            <w:r>
              <w:rPr>
                <w:rFonts w:ascii="宋体" w:hAnsi="宋体" w:cs="宋体"/>
                <w:color w:val="auto"/>
                <w:kern w:val="0"/>
              </w:rPr>
              <w:t>.5</w:t>
            </w:r>
          </w:p>
        </w:tc>
        <w:tc>
          <w:tcPr>
            <w:tcW w:w="2034"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w:t>
            </w:r>
            <w:r>
              <w:rPr>
                <w:rFonts w:ascii="宋体" w:hAnsi="宋体" w:cs="宋体"/>
                <w:color w:val="auto"/>
                <w:kern w:val="0"/>
                <w:sz w:val="21"/>
                <w:szCs w:val="21"/>
              </w:rPr>
              <w:t>5</w:t>
            </w:r>
          </w:p>
        </w:tc>
        <w:tc>
          <w:tcPr>
            <w:tcW w:w="6148"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 xml:space="preserve">密封圈 </w:t>
            </w:r>
            <w:r>
              <w:rPr>
                <w:rFonts w:ascii="宋体" w:hAnsi="宋体" w:cs="宋体"/>
                <w:color w:val="auto"/>
                <w:kern w:val="0"/>
                <w:sz w:val="21"/>
                <w:szCs w:val="21"/>
              </w:rPr>
              <w:t xml:space="preserve"> 1</w:t>
            </w:r>
            <w:r>
              <w:rPr>
                <w:rFonts w:hint="eastAsia" w:ascii="宋体" w:hAnsi="宋体" w:cs="宋体"/>
                <w:color w:val="auto"/>
                <w:kern w:val="0"/>
                <w:sz w:val="21"/>
                <w:szCs w:val="21"/>
              </w:rPr>
              <w:t>个</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034"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6148" w:type="dxa"/>
            <w:vAlign w:val="center"/>
          </w:tcPr>
          <w:p>
            <w:pPr>
              <w:widowControl/>
              <w:spacing w:line="240" w:lineRule="auto"/>
              <w:jc w:val="left"/>
              <w:rPr>
                <w:rFonts w:ascii="宋体" w:hAnsi="宋体" w:cs="宋体"/>
                <w:color w:val="auto"/>
                <w:kern w:val="0"/>
                <w:sz w:val="21"/>
                <w:szCs w:val="21"/>
              </w:rPr>
            </w:pPr>
          </w:p>
        </w:tc>
        <w:tc>
          <w:tcPr>
            <w:tcW w:w="693" w:type="dxa"/>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海外安装、海外维护≥3年</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响应时间≤ 24小时</w:t>
            </w:r>
            <w:r>
              <w:rPr>
                <w:rFonts w:hint="eastAsia" w:ascii="宋体" w:hAnsi="宋体" w:cs="宋体"/>
                <w:color w:val="auto"/>
                <w:kern w:val="0"/>
              </w:rPr>
              <w:br w:type="textWrapping"/>
            </w:r>
            <w:r>
              <w:rPr>
                <w:rFonts w:hint="eastAsia" w:ascii="宋体" w:hAnsi="宋体" w:cs="宋体"/>
                <w:color w:val="auto"/>
                <w:kern w:val="0"/>
              </w:rPr>
              <w:t>维修时间≤45天</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配件供应时间≥5年</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提供耗材及主要零配件目录（含报价）</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开放</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≥3年</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693"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9"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034"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6148"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693" w:type="dxa"/>
            <w:vAlign w:val="center"/>
          </w:tcPr>
          <w:p>
            <w:pPr>
              <w:widowControl/>
              <w:spacing w:line="240" w:lineRule="auto"/>
              <w:jc w:val="center"/>
              <w:rPr>
                <w:rFonts w:ascii="宋体" w:hAnsi="宋体" w:cs="宋体"/>
                <w:color w:val="auto"/>
                <w:kern w:val="0"/>
              </w:rPr>
            </w:pPr>
          </w:p>
        </w:tc>
      </w:tr>
    </w:tbl>
    <w:p>
      <w:pPr>
        <w:rPr>
          <w:rFonts w:hint="eastAsia" w:ascii="方正小标宋简体" w:hAnsi="仿宋" w:eastAsia="方正小标宋简体" w:cs="仿宋"/>
          <w:bCs/>
          <w:color w:val="auto"/>
          <w:kern w:val="0"/>
          <w:sz w:val="44"/>
          <w:szCs w:val="44"/>
          <w:lang w:val="en-US" w:eastAsia="zh-CN"/>
        </w:rPr>
      </w:pPr>
      <w:r>
        <w:rPr>
          <w:rFonts w:hint="eastAsia" w:ascii="方正小标宋简体" w:hAnsi="仿宋" w:eastAsia="方正小标宋简体" w:cs="仿宋"/>
          <w:bCs/>
          <w:color w:val="auto"/>
          <w:kern w:val="0"/>
          <w:sz w:val="44"/>
          <w:szCs w:val="44"/>
          <w:lang w:val="en-US" w:eastAsia="zh-CN"/>
        </w:rPr>
        <w:br w:type="page"/>
      </w:r>
    </w:p>
    <w:p>
      <w:pPr>
        <w:autoSpaceDE w:val="0"/>
        <w:autoSpaceDN w:val="0"/>
        <w:adjustRightInd w:val="0"/>
        <w:snapToGrid w:val="0"/>
        <w:spacing w:line="579" w:lineRule="exact"/>
        <w:jc w:val="center"/>
        <w:rPr>
          <w:rFonts w:hint="eastAsia" w:ascii="方正小标宋简体" w:hAnsi="仿宋" w:eastAsia="方正小标宋简体" w:cs="仿宋"/>
          <w:bCs/>
          <w:color w:val="auto"/>
          <w:kern w:val="0"/>
          <w:sz w:val="44"/>
          <w:szCs w:val="44"/>
        </w:rPr>
      </w:pPr>
      <w:r>
        <w:rPr>
          <w:rFonts w:hint="eastAsia" w:ascii="方正小标宋简体" w:hAnsi="仿宋" w:eastAsia="方正小标宋简体" w:cs="仿宋"/>
          <w:bCs/>
          <w:color w:val="auto"/>
          <w:kern w:val="0"/>
          <w:sz w:val="44"/>
          <w:szCs w:val="44"/>
          <w:lang w:val="en-US" w:eastAsia="zh-CN"/>
        </w:rPr>
        <w:t>32.</w:t>
      </w:r>
      <w:r>
        <w:rPr>
          <w:rFonts w:hint="eastAsia" w:ascii="方正小标宋简体" w:hAnsi="仿宋" w:eastAsia="方正小标宋简体" w:cs="仿宋"/>
          <w:bCs/>
          <w:color w:val="auto"/>
          <w:kern w:val="0"/>
          <w:sz w:val="44"/>
          <w:szCs w:val="44"/>
        </w:rPr>
        <w:t>地埋式医疗污水处理装置</w:t>
      </w:r>
    </w:p>
    <w:p>
      <w:pPr>
        <w:autoSpaceDE w:val="0"/>
        <w:autoSpaceDN w:val="0"/>
        <w:adjustRightInd w:val="0"/>
        <w:snapToGrid w:val="0"/>
        <w:spacing w:line="579" w:lineRule="exact"/>
        <w:jc w:val="center"/>
        <w:rPr>
          <w:rFonts w:hint="eastAsia" w:ascii="方正小标宋简体" w:hAnsi="仿宋" w:eastAsia="方正小标宋简体" w:cs="仿宋"/>
          <w:color w:val="auto"/>
          <w:sz w:val="44"/>
          <w:szCs w:val="44"/>
          <w:lang w:eastAsia="zh-CN"/>
        </w:rPr>
      </w:pPr>
      <w:r>
        <w:rPr>
          <w:rFonts w:hint="eastAsia" w:ascii="方正小标宋简体" w:hAnsi="仿宋" w:eastAsia="方正小标宋简体" w:cs="仿宋"/>
          <w:bCs/>
          <w:color w:val="auto"/>
          <w:kern w:val="0"/>
          <w:sz w:val="44"/>
          <w:szCs w:val="44"/>
        </w:rPr>
        <w:t>技术</w:t>
      </w:r>
      <w:r>
        <w:rPr>
          <w:rFonts w:hint="eastAsia" w:ascii="方正小标宋简体" w:hAnsi="仿宋" w:eastAsia="方正小标宋简体" w:cs="仿宋"/>
          <w:bCs/>
          <w:color w:val="auto"/>
          <w:kern w:val="0"/>
          <w:sz w:val="44"/>
          <w:szCs w:val="44"/>
          <w:lang w:eastAsia="zh-CN"/>
        </w:rPr>
        <w:t>要求</w:t>
      </w:r>
    </w:p>
    <w:p>
      <w:pPr>
        <w:spacing w:line="579" w:lineRule="exact"/>
        <w:rPr>
          <w:rFonts w:hint="eastAsia" w:ascii="黑体" w:hAnsi="黑体" w:eastAsia="黑体"/>
          <w:color w:val="auto"/>
          <w:sz w:val="32"/>
          <w:szCs w:val="32"/>
        </w:rPr>
      </w:pPr>
      <w:bookmarkStart w:id="28" w:name="_Toc416522152"/>
      <w:bookmarkStart w:id="29" w:name="_Toc136997745"/>
      <w:bookmarkStart w:id="30" w:name="_Toc136996277"/>
      <w:bookmarkStart w:id="31" w:name="_Toc136997197"/>
      <w:bookmarkStart w:id="32" w:name="_Toc136997506"/>
      <w:bookmarkStart w:id="33" w:name="_Toc136997070"/>
      <w:bookmarkStart w:id="34" w:name="_Toc143060632"/>
      <w:bookmarkStart w:id="35" w:name="_Ref136996974"/>
      <w:bookmarkStart w:id="36" w:name="_Toc1118"/>
      <w:bookmarkStart w:id="37" w:name="_Toc136997328"/>
      <w:bookmarkStart w:id="38" w:name="_Toc30531"/>
      <w:r>
        <w:rPr>
          <w:rFonts w:hint="eastAsia" w:ascii="黑体" w:hAnsi="黑体" w:eastAsia="黑体"/>
          <w:color w:val="auto"/>
          <w:sz w:val="32"/>
          <w:szCs w:val="32"/>
        </w:rPr>
        <w:t>一、概述</w:t>
      </w:r>
      <w:bookmarkEnd w:id="28"/>
      <w:bookmarkEnd w:id="29"/>
      <w:bookmarkEnd w:id="30"/>
      <w:bookmarkEnd w:id="31"/>
      <w:bookmarkEnd w:id="32"/>
      <w:bookmarkEnd w:id="33"/>
      <w:bookmarkEnd w:id="34"/>
      <w:bookmarkEnd w:id="35"/>
      <w:bookmarkEnd w:id="36"/>
      <w:bookmarkEnd w:id="37"/>
      <w:bookmarkEnd w:id="38"/>
    </w:p>
    <w:p>
      <w:pPr>
        <w:spacing w:line="579" w:lineRule="exact"/>
        <w:ind w:firstLine="622" w:firstLineChars="200"/>
        <w:rPr>
          <w:rFonts w:hint="eastAsia" w:hAnsi="宋体" w:cs="仿宋"/>
          <w:color w:val="auto"/>
          <w:kern w:val="0"/>
          <w:sz w:val="32"/>
          <w:szCs w:val="32"/>
        </w:rPr>
      </w:pPr>
      <w:bookmarkStart w:id="39" w:name="_Toc7736"/>
      <w:bookmarkStart w:id="40" w:name="_Toc29741"/>
      <w:bookmarkStart w:id="41" w:name="_Toc416522154"/>
      <w:bookmarkStart w:id="42" w:name="_Toc29989"/>
      <w:bookmarkStart w:id="43" w:name="_Toc136996279"/>
      <w:bookmarkStart w:id="44" w:name="_Toc143060634"/>
      <w:bookmarkStart w:id="45" w:name="_Toc136997072"/>
      <w:bookmarkStart w:id="46" w:name="_Toc136997199"/>
      <w:bookmarkStart w:id="47" w:name="_Toc136997330"/>
      <w:bookmarkStart w:id="48" w:name="_Toc136997747"/>
      <w:bookmarkStart w:id="49" w:name="_Toc136997508"/>
      <w:r>
        <w:rPr>
          <w:rFonts w:hint="eastAsia" w:hAnsi="宋体" w:cs="仿宋"/>
          <w:color w:val="auto"/>
          <w:sz w:val="32"/>
          <w:szCs w:val="32"/>
        </w:rPr>
        <w:t>1、医疗实验室废水特性</w:t>
      </w:r>
      <w:bookmarkEnd w:id="39"/>
      <w:bookmarkEnd w:id="40"/>
    </w:p>
    <w:p>
      <w:pPr>
        <w:adjustRightInd w:val="0"/>
        <w:snapToGrid w:val="0"/>
        <w:spacing w:line="579" w:lineRule="exact"/>
        <w:ind w:firstLine="678" w:firstLineChars="218"/>
        <w:rPr>
          <w:rFonts w:hint="eastAsia" w:hAnsi="宋体" w:cs="仿宋"/>
          <w:color w:val="auto"/>
          <w:sz w:val="32"/>
          <w:szCs w:val="32"/>
        </w:rPr>
      </w:pPr>
      <w:r>
        <w:rPr>
          <w:rFonts w:hint="eastAsia" w:hAnsi="宋体" w:cs="仿宋"/>
          <w:color w:val="auto"/>
          <w:sz w:val="32"/>
          <w:szCs w:val="32"/>
        </w:rPr>
        <w:t>医疗实验室污水主要来自医疗机构的实验室，以及医护人员生活区的生活污水。其水质除与普通生活污水相似外，还含有大量病原性微生物（细菌、病毒、寄生虫卵等）、重金属、消毒剂（医疗用具消毒清洁、洗衣），对环境危害大，若不妥善处理，此类物质将对环境造成重大的影响，并危害人体健康，甚至引起传染病的爆发流行。</w:t>
      </w:r>
    </w:p>
    <w:p>
      <w:pPr>
        <w:spacing w:line="360" w:lineRule="auto"/>
        <w:ind w:firstLine="622" w:firstLineChars="200"/>
        <w:rPr>
          <w:rFonts w:hint="eastAsia" w:hAnsi="宋体" w:cs="仿宋"/>
          <w:color w:val="auto"/>
          <w:kern w:val="0"/>
          <w:sz w:val="32"/>
          <w:szCs w:val="32"/>
        </w:rPr>
      </w:pPr>
      <w:r>
        <w:rPr>
          <w:rFonts w:hint="eastAsia" w:hAnsi="宋体" w:cs="仿宋"/>
          <w:color w:val="auto"/>
          <w:kern w:val="0"/>
          <w:sz w:val="32"/>
          <w:szCs w:val="32"/>
        </w:rPr>
        <w:t>2、进水水质：根据国内类似项目，推测的水样数据：</w:t>
      </w:r>
    </w:p>
    <w:tbl>
      <w:tblPr>
        <w:tblStyle w:val="20"/>
        <w:tblW w:w="0" w:type="auto"/>
        <w:tblInd w:w="9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2675"/>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编号</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项目名称</w:t>
            </w:r>
          </w:p>
        </w:tc>
        <w:tc>
          <w:tcPr>
            <w:tcW w:w="3366"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控制数值（mg/l）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CODer</w:t>
            </w:r>
          </w:p>
        </w:tc>
        <w:tc>
          <w:tcPr>
            <w:tcW w:w="3366" w:type="dxa"/>
            <w:noWrap w:val="0"/>
            <w:vAlign w:val="top"/>
          </w:tcPr>
          <w:p>
            <w:pPr>
              <w:spacing w:line="240" w:lineRule="auto"/>
              <w:jc w:val="center"/>
              <w:rPr>
                <w:rFonts w:hAnsi="宋体" w:cs="仿宋"/>
                <w:color w:val="auto"/>
                <w:kern w:val="0"/>
                <w:sz w:val="32"/>
                <w:szCs w:val="32"/>
              </w:rPr>
            </w:pPr>
            <w:r>
              <w:rPr>
                <w:rFonts w:hint="eastAsia" w:hAnsi="宋体" w:cs="仿宋"/>
                <w:color w:val="auto"/>
                <w:kern w:val="0"/>
                <w:sz w:val="32"/>
                <w:szCs w:val="3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2</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氨氮</w:t>
            </w:r>
          </w:p>
        </w:tc>
        <w:tc>
          <w:tcPr>
            <w:tcW w:w="3366"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5</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粪大肠菌群数</w:t>
            </w:r>
          </w:p>
        </w:tc>
        <w:tc>
          <w:tcPr>
            <w:tcW w:w="3366" w:type="dxa"/>
            <w:noWrap w:val="0"/>
            <w:vAlign w:val="top"/>
          </w:tcPr>
          <w:p>
            <w:pPr>
              <w:spacing w:line="240" w:lineRule="auto"/>
              <w:jc w:val="center"/>
              <w:rPr>
                <w:rFonts w:hAnsi="宋体" w:cs="仿宋"/>
                <w:color w:val="auto"/>
                <w:kern w:val="0"/>
                <w:sz w:val="32"/>
                <w:szCs w:val="32"/>
              </w:rPr>
            </w:pPr>
            <w:r>
              <w:rPr>
                <w:rFonts w:hint="eastAsia" w:hAnsi="宋体" w:cs="仿宋"/>
                <w:color w:val="auto"/>
                <w:kern w:val="0"/>
                <w:sz w:val="32"/>
                <w:szCs w:val="32"/>
              </w:rPr>
              <w:t>≦30000</w:t>
            </w:r>
          </w:p>
        </w:tc>
      </w:tr>
    </w:tbl>
    <w:p>
      <w:pPr>
        <w:pStyle w:val="5"/>
        <w:rPr>
          <w:rFonts w:hAnsi="宋体"/>
          <w:color w:val="auto"/>
          <w:sz w:val="32"/>
          <w:szCs w:val="32"/>
        </w:rPr>
      </w:pPr>
    </w:p>
    <w:p>
      <w:pPr>
        <w:spacing w:line="360" w:lineRule="auto"/>
        <w:ind w:firstLine="622" w:firstLineChars="200"/>
        <w:rPr>
          <w:rFonts w:hint="eastAsia" w:hAnsi="宋体" w:cs="仿宋"/>
          <w:color w:val="auto"/>
          <w:kern w:val="0"/>
          <w:sz w:val="32"/>
          <w:szCs w:val="32"/>
        </w:rPr>
      </w:pPr>
      <w:r>
        <w:rPr>
          <w:rFonts w:hint="eastAsia" w:hAnsi="宋体"/>
          <w:color w:val="auto"/>
          <w:sz w:val="32"/>
          <w:szCs w:val="32"/>
        </w:rPr>
        <w:t>3、出水标准</w:t>
      </w:r>
    </w:p>
    <w:p>
      <w:pPr>
        <w:pStyle w:val="3"/>
        <w:keepNext w:val="0"/>
        <w:keepLines w:val="0"/>
        <w:pageBreakBefore w:val="0"/>
        <w:widowControl/>
        <w:kinsoku/>
        <w:wordWrap/>
        <w:overflowPunct/>
        <w:topLinePunct w:val="0"/>
        <w:autoSpaceDE/>
        <w:autoSpaceDN/>
        <w:bidi w:val="0"/>
        <w:adjustRightInd/>
        <w:snapToGrid/>
        <w:spacing w:before="0" w:after="0" w:line="240" w:lineRule="auto"/>
        <w:jc w:val="left"/>
        <w:textAlignment w:val="auto"/>
        <w:rPr>
          <w:rFonts w:hint="eastAsia" w:ascii="宋体" w:hAnsi="宋体" w:eastAsia="宋体" w:cs="仿宋"/>
          <w:color w:val="auto"/>
          <w:sz w:val="32"/>
          <w:szCs w:val="32"/>
        </w:rPr>
      </w:pPr>
      <w:r>
        <w:rPr>
          <w:rFonts w:hint="eastAsia" w:ascii="宋体" w:hAnsi="宋体" w:eastAsia="宋体" w:cs="仿宋"/>
          <w:color w:val="auto"/>
          <w:kern w:val="0"/>
        </w:rPr>
        <w:t xml:space="preserve">  </w:t>
      </w:r>
      <w:r>
        <w:rPr>
          <w:rFonts w:hint="eastAsia" w:ascii="宋体" w:hAnsi="宋体" w:eastAsia="宋体" w:cs="仿宋"/>
          <w:color w:val="auto"/>
          <w:kern w:val="0"/>
          <w:sz w:val="32"/>
          <w:szCs w:val="32"/>
        </w:rPr>
        <w:t xml:space="preserve"> </w:t>
      </w:r>
      <w:bookmarkStart w:id="50" w:name="_Toc4670"/>
      <w:r>
        <w:rPr>
          <w:rFonts w:hint="eastAsia" w:ascii="宋体" w:hAnsi="宋体" w:eastAsia="宋体" w:cs="仿宋"/>
          <w:color w:val="auto"/>
          <w:kern w:val="0"/>
          <w:sz w:val="32"/>
          <w:szCs w:val="32"/>
        </w:rPr>
        <w:t>废水经本装置处理后出水达到《医疗机构水污染物排放标准 》GB18466-2005表2预处理标准，可接入医疗机构的污水管道排放。具体排放指标如下表：</w:t>
      </w:r>
      <w:bookmarkEnd w:id="50"/>
    </w:p>
    <w:tbl>
      <w:tblPr>
        <w:tblStyle w:val="20"/>
        <w:tblW w:w="0" w:type="auto"/>
        <w:tblInd w:w="9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541"/>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编号</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项目名称</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控制数值（mg/l）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CODer</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2</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BOD</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3</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氨氮</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4</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余氯</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5</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粪大肠菌群数</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≦5000</w:t>
            </w:r>
          </w:p>
        </w:tc>
      </w:tr>
    </w:tbl>
    <w:p>
      <w:pPr>
        <w:spacing w:line="360" w:lineRule="auto"/>
        <w:ind w:firstLine="622" w:firstLineChars="200"/>
        <w:rPr>
          <w:rFonts w:hAnsi="宋体" w:cs="仿宋"/>
          <w:color w:val="auto"/>
          <w:kern w:val="0"/>
          <w:sz w:val="32"/>
          <w:szCs w:val="32"/>
        </w:rPr>
      </w:pPr>
      <w:r>
        <w:rPr>
          <w:rFonts w:hAnsi="宋体"/>
          <w:color w:val="auto"/>
          <w:sz w:val="32"/>
          <w:szCs w:val="32"/>
        </w:rPr>
        <w:t>4、本装置的处理能力</w:t>
      </w:r>
    </w:p>
    <w:p>
      <w:pPr>
        <w:spacing w:line="360" w:lineRule="auto"/>
        <w:ind w:firstLine="622" w:firstLineChars="200"/>
        <w:rPr>
          <w:rFonts w:hint="eastAsia" w:hAnsi="宋体" w:cs="仿宋"/>
          <w:color w:val="auto"/>
          <w:kern w:val="0"/>
          <w:sz w:val="32"/>
          <w:szCs w:val="32"/>
        </w:rPr>
      </w:pPr>
      <w:r>
        <w:rPr>
          <w:rFonts w:hint="eastAsia" w:hAnsi="宋体" w:cs="仿宋"/>
          <w:color w:val="auto"/>
          <w:kern w:val="0"/>
          <w:sz w:val="32"/>
          <w:szCs w:val="32"/>
        </w:rPr>
        <w:t>建议处理水量：1m</w:t>
      </w:r>
      <w:r>
        <w:rPr>
          <w:rFonts w:hint="eastAsia" w:hAnsi="宋体" w:cs="仿宋"/>
          <w:color w:val="auto"/>
          <w:kern w:val="0"/>
          <w:sz w:val="32"/>
          <w:szCs w:val="32"/>
          <w:vertAlign w:val="superscript"/>
        </w:rPr>
        <w:t>3</w:t>
      </w:r>
      <w:r>
        <w:rPr>
          <w:rFonts w:hint="eastAsia" w:hAnsi="宋体" w:cs="仿宋"/>
          <w:color w:val="auto"/>
          <w:kern w:val="0"/>
          <w:sz w:val="32"/>
          <w:szCs w:val="32"/>
        </w:rPr>
        <w:t>/d，，最大处理水量：2 m</w:t>
      </w:r>
      <w:r>
        <w:rPr>
          <w:rFonts w:hint="eastAsia" w:hAnsi="宋体" w:cs="仿宋"/>
          <w:color w:val="auto"/>
          <w:kern w:val="0"/>
          <w:sz w:val="32"/>
          <w:szCs w:val="32"/>
          <w:vertAlign w:val="superscript"/>
        </w:rPr>
        <w:t>3</w:t>
      </w:r>
      <w:r>
        <w:rPr>
          <w:rFonts w:hint="eastAsia" w:hAnsi="宋体" w:cs="仿宋"/>
          <w:color w:val="auto"/>
          <w:kern w:val="0"/>
          <w:sz w:val="32"/>
          <w:szCs w:val="32"/>
        </w:rPr>
        <w:t>/d。</w:t>
      </w:r>
    </w:p>
    <w:p>
      <w:pPr>
        <w:rPr>
          <w:rFonts w:hint="eastAsia" w:ascii="黑体" w:hAnsi="黑体" w:eastAsia="黑体"/>
          <w:color w:val="auto"/>
          <w:sz w:val="32"/>
          <w:szCs w:val="32"/>
        </w:rPr>
      </w:pPr>
      <w:bookmarkStart w:id="51" w:name="_Toc178905070"/>
      <w:bookmarkStart w:id="52" w:name="_Toc8268"/>
      <w:bookmarkStart w:id="53" w:name="_Toc73790209"/>
      <w:bookmarkStart w:id="54" w:name="_Toc435448641"/>
      <w:bookmarkStart w:id="55" w:name="_Toc6918"/>
      <w:bookmarkStart w:id="56" w:name="_Toc183137082"/>
      <w:bookmarkStart w:id="57" w:name="_Toc444856555"/>
      <w:r>
        <w:rPr>
          <w:rFonts w:hint="eastAsia" w:ascii="黑体" w:hAnsi="黑体" w:eastAsia="黑体"/>
          <w:color w:val="auto"/>
          <w:sz w:val="32"/>
          <w:szCs w:val="32"/>
        </w:rPr>
        <w:t>二、处理工艺</w:t>
      </w:r>
      <w:bookmarkEnd w:id="51"/>
      <w:bookmarkEnd w:id="52"/>
      <w:bookmarkEnd w:id="53"/>
      <w:bookmarkEnd w:id="54"/>
      <w:bookmarkEnd w:id="55"/>
      <w:bookmarkEnd w:id="56"/>
      <w:bookmarkEnd w:id="57"/>
      <w:r>
        <w:rPr>
          <w:rFonts w:hint="eastAsia" w:ascii="黑体" w:hAnsi="黑体" w:eastAsia="黑体"/>
          <w:color w:val="auto"/>
          <w:sz w:val="32"/>
          <w:szCs w:val="32"/>
        </w:rPr>
        <w:t xml:space="preserve"> </w:t>
      </w:r>
    </w:p>
    <w:p>
      <w:pPr>
        <w:adjustRightInd w:val="0"/>
        <w:snapToGrid w:val="0"/>
        <w:spacing w:line="360" w:lineRule="auto"/>
        <w:ind w:firstLine="622" w:firstLineChars="200"/>
        <w:rPr>
          <w:rFonts w:hint="eastAsia" w:hAnsi="宋体" w:cs="仿宋"/>
          <w:color w:val="auto"/>
          <w:sz w:val="32"/>
          <w:szCs w:val="32"/>
        </w:rPr>
      </w:pPr>
      <w:r>
        <w:rPr>
          <w:rFonts w:hint="eastAsia" w:hAnsi="宋体" w:cs="仿宋"/>
          <w:color w:val="auto"/>
          <w:sz w:val="32"/>
          <w:szCs w:val="32"/>
        </w:rPr>
        <w:t>格栅拦截</w:t>
      </w:r>
      <w:r>
        <w:rPr>
          <w:rFonts w:hAnsi="宋体" w:cs="Calibri"/>
          <w:color w:val="auto"/>
          <w:sz w:val="32"/>
          <w:szCs w:val="32"/>
        </w:rPr>
        <w:t>→</w:t>
      </w:r>
      <w:r>
        <w:rPr>
          <w:rFonts w:hint="eastAsia" w:hAnsi="宋体" w:cs="仿宋"/>
          <w:color w:val="auto"/>
          <w:sz w:val="32"/>
          <w:szCs w:val="32"/>
        </w:rPr>
        <w:t>调节</w:t>
      </w:r>
      <w:r>
        <w:rPr>
          <w:rFonts w:hAnsi="宋体" w:cs="Calibri"/>
          <w:color w:val="auto"/>
          <w:sz w:val="32"/>
          <w:szCs w:val="32"/>
        </w:rPr>
        <w:t>→</w:t>
      </w:r>
      <w:r>
        <w:rPr>
          <w:rFonts w:hint="eastAsia" w:hAnsi="宋体" w:cs="Calibri"/>
          <w:color w:val="auto"/>
          <w:sz w:val="32"/>
          <w:szCs w:val="32"/>
        </w:rPr>
        <w:t>初沉池</w:t>
      </w:r>
      <w:r>
        <w:rPr>
          <w:rFonts w:hAnsi="宋体" w:cs="Calibri"/>
          <w:color w:val="auto"/>
          <w:sz w:val="32"/>
          <w:szCs w:val="32"/>
        </w:rPr>
        <w:t>→</w:t>
      </w:r>
      <w:r>
        <w:rPr>
          <w:rFonts w:hint="eastAsia" w:hAnsi="宋体" w:cs="仿宋"/>
          <w:color w:val="auto"/>
          <w:sz w:val="32"/>
          <w:szCs w:val="32"/>
        </w:rPr>
        <w:t>A/O接触氧化</w:t>
      </w:r>
      <w:r>
        <w:rPr>
          <w:rFonts w:hAnsi="宋体" w:cs="Calibri"/>
          <w:color w:val="auto"/>
          <w:sz w:val="32"/>
          <w:szCs w:val="32"/>
        </w:rPr>
        <w:t>→</w:t>
      </w:r>
      <w:r>
        <w:rPr>
          <w:rFonts w:hint="eastAsia" w:hAnsi="宋体" w:cs="Calibri"/>
          <w:color w:val="auto"/>
          <w:sz w:val="32"/>
          <w:szCs w:val="32"/>
        </w:rPr>
        <w:t>二沉池</w:t>
      </w:r>
      <w:r>
        <w:rPr>
          <w:rFonts w:hAnsi="宋体" w:cs="Calibri"/>
          <w:color w:val="auto"/>
          <w:sz w:val="32"/>
          <w:szCs w:val="32"/>
        </w:rPr>
        <w:t>→</w:t>
      </w:r>
      <w:r>
        <w:rPr>
          <w:rFonts w:hint="eastAsia" w:hAnsi="宋体" w:cs="Calibri"/>
          <w:color w:val="auto"/>
          <w:sz w:val="32"/>
          <w:szCs w:val="32"/>
        </w:rPr>
        <w:t>终沉池</w:t>
      </w:r>
      <w:r>
        <w:rPr>
          <w:rFonts w:hAnsi="宋体" w:cs="Calibri"/>
          <w:color w:val="auto"/>
          <w:sz w:val="32"/>
          <w:szCs w:val="32"/>
        </w:rPr>
        <w:t>→</w:t>
      </w:r>
      <w:r>
        <w:rPr>
          <w:rFonts w:hint="eastAsia" w:hAnsi="宋体" w:cs="仿宋"/>
          <w:color w:val="auto"/>
          <w:sz w:val="32"/>
          <w:szCs w:val="32"/>
        </w:rPr>
        <w:t>消毒</w:t>
      </w:r>
      <w:r>
        <w:rPr>
          <w:rFonts w:hAnsi="宋体" w:cs="Calibri"/>
          <w:color w:val="auto"/>
          <w:sz w:val="32"/>
          <w:szCs w:val="32"/>
        </w:rPr>
        <w:t>→</w:t>
      </w:r>
      <w:r>
        <w:rPr>
          <w:rFonts w:hint="eastAsia" w:hAnsi="宋体" w:cs="仿宋"/>
          <w:color w:val="auto"/>
          <w:sz w:val="32"/>
          <w:szCs w:val="32"/>
        </w:rPr>
        <w:t>外排。</w:t>
      </w:r>
    </w:p>
    <w:p>
      <w:pPr>
        <w:adjustRightInd w:val="0"/>
        <w:snapToGrid w:val="0"/>
        <w:spacing w:line="360" w:lineRule="auto"/>
        <w:ind w:firstLine="678" w:firstLineChars="218"/>
        <w:rPr>
          <w:rFonts w:hint="eastAsia" w:hAnsi="宋体" w:cs="仿宋"/>
          <w:color w:val="auto"/>
          <w:sz w:val="32"/>
          <w:szCs w:val="32"/>
        </w:rPr>
      </w:pPr>
      <w:r>
        <w:rPr>
          <w:rFonts w:hint="eastAsia" w:hAnsi="宋体" w:cs="仿宋"/>
          <w:color w:val="auto"/>
          <w:sz w:val="32"/>
          <w:szCs w:val="32"/>
        </w:rPr>
        <w:t>污水的主要处理工艺过程如下：</w:t>
      </w:r>
    </w:p>
    <w:p>
      <w:pPr>
        <w:adjustRightInd w:val="0"/>
        <w:snapToGrid w:val="0"/>
        <w:spacing w:line="360" w:lineRule="auto"/>
        <w:ind w:firstLine="678" w:firstLineChars="218"/>
        <w:rPr>
          <w:rFonts w:hint="eastAsia" w:hAnsi="宋体" w:cs="仿宋"/>
          <w:color w:val="auto"/>
          <w:sz w:val="32"/>
          <w:szCs w:val="32"/>
        </w:rPr>
      </w:pPr>
      <w:r>
        <w:rPr>
          <w:rFonts w:hint="eastAsia" w:hAnsi="宋体" w:cs="仿宋"/>
          <w:color w:val="auto"/>
          <w:sz w:val="32"/>
          <w:szCs w:val="32"/>
        </w:rPr>
        <w:t>医疗废水汇总自流进入本污水处理站，首先进入格栅井，经格栅拦截后自流至调节池调节污水的水质水量，由泵提升至初沉池，通过加药反应沉淀除去悬浮物和部分，出水自流到A/O接触氧化系统进行生化处理；A/O系统出水含有大量死亡脱落的微生物，故自流入二沉池进行沉淀分离处理；二沉池出水自流到终沉池出水通过加药反应沉淀进一步除去水中的悬浮物和有机物，出水到消毒池；进行紫外和物化消杀灭菌，出水达标排放。</w:t>
      </w:r>
    </w:p>
    <w:bookmarkEnd w:id="41"/>
    <w:bookmarkEnd w:id="42"/>
    <w:bookmarkEnd w:id="43"/>
    <w:bookmarkEnd w:id="44"/>
    <w:bookmarkEnd w:id="45"/>
    <w:bookmarkEnd w:id="46"/>
    <w:bookmarkEnd w:id="47"/>
    <w:bookmarkEnd w:id="48"/>
    <w:bookmarkEnd w:id="49"/>
    <w:p>
      <w:pPr>
        <w:adjustRightInd w:val="0"/>
        <w:snapToGrid w:val="0"/>
        <w:spacing w:line="360" w:lineRule="auto"/>
        <w:ind w:firstLine="678" w:firstLineChars="218"/>
        <w:rPr>
          <w:rFonts w:hint="eastAsia" w:hAnsi="宋体"/>
          <w:color w:val="auto"/>
          <w:sz w:val="32"/>
          <w:szCs w:val="32"/>
        </w:rPr>
      </w:pPr>
      <w:bookmarkStart w:id="58" w:name="_Toc416522160"/>
      <w:bookmarkStart w:id="59" w:name="_Toc8403"/>
      <w:r>
        <w:rPr>
          <w:rFonts w:hint="eastAsia" w:hAnsi="宋体" w:cs="仿宋"/>
          <w:bCs/>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2967990</wp:posOffset>
                </wp:positionH>
                <wp:positionV relativeFrom="paragraph">
                  <wp:posOffset>265430</wp:posOffset>
                </wp:positionV>
                <wp:extent cx="1066800" cy="457200"/>
                <wp:effectExtent l="5080" t="4445" r="33020" b="33655"/>
                <wp:wrapNone/>
                <wp:docPr id="32" name="矩形 32"/>
                <wp:cNvGraphicFramePr/>
                <a:graphic xmlns:a="http://schemas.openxmlformats.org/drawingml/2006/main">
                  <a:graphicData uri="http://schemas.microsoft.com/office/word/2010/wordprocessingShape">
                    <wps:wsp>
                      <wps:cNvSpPr/>
                      <wps:spPr>
                        <a:xfrm>
                          <a:off x="0" y="0"/>
                          <a:ext cx="1066800" cy="457200"/>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b/>
                                <w:bCs/>
                                <w:sz w:val="21"/>
                                <w:szCs w:val="21"/>
                              </w:rPr>
                            </w:pPr>
                            <w:r>
                              <w:rPr>
                                <w:rFonts w:hint="eastAsia"/>
                                <w:b/>
                                <w:bCs/>
                                <w:sz w:val="21"/>
                                <w:szCs w:val="21"/>
                              </w:rPr>
                              <w:t>一般医疗污水</w:t>
                            </w:r>
                          </w:p>
                          <w:p>
                            <w:pPr>
                              <w:pStyle w:val="8"/>
                              <w:spacing w:line="280" w:lineRule="exact"/>
                              <w:rPr>
                                <w:rFonts w:hint="eastAsia"/>
                              </w:rPr>
                            </w:pPr>
                            <w:r>
                              <w:rPr>
                                <w:rFonts w:hint="eastAsia"/>
                              </w:rPr>
                              <w:t>来自各排水点</w:t>
                            </w:r>
                          </w:p>
                        </w:txbxContent>
                      </wps:txbx>
                      <wps:bodyPr lIns="36000" tIns="36000" rIns="36000" bIns="36000" upright="1"/>
                    </wps:wsp>
                  </a:graphicData>
                </a:graphic>
              </wp:anchor>
            </w:drawing>
          </mc:Choice>
          <mc:Fallback>
            <w:pict>
              <v:rect id="_x0000_s1026" o:spid="_x0000_s1026" o:spt="1" style="position:absolute;left:0pt;margin-left:233.7pt;margin-top:20.9pt;height:36pt;width:84pt;z-index:251666432;mso-width-relative:page;mso-height-relative:page;" fillcolor="#99CCFF" filled="t" stroked="t" coordsize="21600,21600" o:gfxdata="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85c87XAAAA&#10;CgEAAA8AAAAAAAAAAQAgAAAAIgAAAGRycy9kb3ducmV2LnhtbFBLAQIUABQAAAAIAIdO4kCjZpuc&#10;VwIAAOMEAAAOAAAAAAAAAAEAIAAAACY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b/>
                          <w:bCs/>
                          <w:sz w:val="21"/>
                          <w:szCs w:val="21"/>
                        </w:rPr>
                      </w:pPr>
                      <w:r>
                        <w:rPr>
                          <w:rFonts w:hint="eastAsia"/>
                          <w:b/>
                          <w:bCs/>
                          <w:sz w:val="21"/>
                          <w:szCs w:val="21"/>
                        </w:rPr>
                        <w:t>一般医疗污水</w:t>
                      </w:r>
                    </w:p>
                    <w:p>
                      <w:pPr>
                        <w:pStyle w:val="8"/>
                        <w:spacing w:line="280" w:lineRule="exact"/>
                        <w:rPr>
                          <w:rFonts w:hint="eastAsia"/>
                        </w:rPr>
                      </w:pPr>
                      <w:r>
                        <w:rPr>
                          <w:rFonts w:hint="eastAsia"/>
                        </w:rPr>
                        <w:t>来自各排水点</w:t>
                      </w:r>
                    </w:p>
                  </w:txbxContent>
                </v:textbox>
              </v:rect>
            </w:pict>
          </mc:Fallback>
        </mc:AlternateContent>
      </w:r>
      <w:r>
        <w:rPr>
          <w:rFonts w:hint="eastAsia" w:hAnsi="宋体" w:cs="仿宋"/>
          <w:color w:val="auto"/>
          <w:sz w:val="32"/>
          <w:szCs w:val="32"/>
        </w:rPr>
        <w:t>污水处理简要流程如下图：</w:t>
      </w:r>
    </w:p>
    <w:p>
      <w:pPr>
        <w:rPr>
          <w:rFonts w:hint="eastAsia" w:hAnsi="宋体"/>
          <w:color w:val="auto"/>
          <w:sz w:val="32"/>
          <w:szCs w:val="32"/>
        </w:rPr>
      </w:pPr>
      <w:r>
        <w:rPr>
          <w:rFonts w:hint="eastAsia" w:hAnsi="宋体"/>
          <w:color w:val="auto"/>
          <w:sz w:val="32"/>
          <w:szCs w:val="32"/>
        </w:rPr>
        <mc:AlternateContent>
          <mc:Choice Requires="wps">
            <w:drawing>
              <wp:anchor distT="0" distB="0" distL="114300" distR="114300" simplePos="0" relativeHeight="251696128" behindDoc="0" locked="0" layoutInCell="1" allowOverlap="1">
                <wp:simplePos x="0" y="0"/>
                <wp:positionH relativeFrom="character">
                  <wp:posOffset>3519805</wp:posOffset>
                </wp:positionH>
                <wp:positionV relativeFrom="line">
                  <wp:posOffset>312420</wp:posOffset>
                </wp:positionV>
                <wp:extent cx="0" cy="304800"/>
                <wp:effectExtent l="25400" t="0" r="25400" b="0"/>
                <wp:wrapNone/>
                <wp:docPr id="29" name="直接连接符 29"/>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7.15pt;margin-top:24.6pt;height:24pt;width:0pt;mso-position-horizontal-relative:char;mso-position-vertical-relative:line;z-index:251696128;mso-width-relative:page;mso-height-relative:page;" filled="f" stroked="t" coordsize="21600,21600" o:gfxdata="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6o7LNkAAAAJAQAADwAAAAAAAAABACAAAAAiAAAAZHJzL2Rv&#10;d25yZXYueG1sUEsBAhQAFAAAAAgAh07iQBYZ95EAAgAA5wMAAA4AAAAAAAAAAQAgAAAAKAEAAGRy&#10;cy9lMm9Eb2MueG1sUEsFBgAAAAAGAAYAWQEAAJoFA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84864" behindDoc="0" locked="0" layoutInCell="1" allowOverlap="1">
                <wp:simplePos x="0" y="0"/>
                <wp:positionH relativeFrom="column">
                  <wp:posOffset>2960370</wp:posOffset>
                </wp:positionH>
                <wp:positionV relativeFrom="paragraph">
                  <wp:posOffset>265430</wp:posOffset>
                </wp:positionV>
                <wp:extent cx="1066800" cy="360680"/>
                <wp:effectExtent l="5080" t="4445" r="33020" b="41275"/>
                <wp:wrapNone/>
                <wp:docPr id="24" name="矩形 24"/>
                <wp:cNvGraphicFramePr/>
                <a:graphic xmlns:a="http://schemas.openxmlformats.org/drawingml/2006/main">
                  <a:graphicData uri="http://schemas.microsoft.com/office/word/2010/wordprocessingShape">
                    <wps:wsp>
                      <wps:cNvSpPr/>
                      <wps:spPr>
                        <a:xfrm>
                          <a:off x="0" y="0"/>
                          <a:ext cx="1066800" cy="360680"/>
                        </a:xfrm>
                        <a:prstGeom prst="rect">
                          <a:avLst/>
                        </a:prstGeom>
                        <a:solidFill>
                          <a:srgbClr val="B7DEE8"/>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格栅井</w:t>
                            </w:r>
                          </w:p>
                        </w:txbxContent>
                      </wps:txbx>
                      <wps:bodyPr lIns="36000" tIns="36000" rIns="36000" bIns="36000" upright="1"/>
                    </wps:wsp>
                  </a:graphicData>
                </a:graphic>
              </wp:anchor>
            </w:drawing>
          </mc:Choice>
          <mc:Fallback>
            <w:pict>
              <v:rect id="_x0000_s1026" o:spid="_x0000_s1026" o:spt="1" style="position:absolute;left:0pt;margin-left:233.1pt;margin-top:20.9pt;height:28.4pt;width:84pt;z-index:251684864;mso-width-relative:page;mso-height-relative:page;" fillcolor="#B7DEE8" filled="t" stroked="t" coordsize="21600,21600" o:gfxdata="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qMey7YAAAA&#10;CQEAAA8AAAAAAAAAAQAgAAAAIgAAAGRycy9kb3ducmV2LnhtbFBLAQIUABQAAAAIAIdO4kDrniOC&#10;VgIAAOM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格栅井</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86912" behindDoc="0" locked="0" layoutInCell="1" allowOverlap="1">
                <wp:simplePos x="0" y="0"/>
                <wp:positionH relativeFrom="column">
                  <wp:posOffset>1815465</wp:posOffset>
                </wp:positionH>
                <wp:positionV relativeFrom="paragraph">
                  <wp:posOffset>168910</wp:posOffset>
                </wp:positionV>
                <wp:extent cx="1131570" cy="248920"/>
                <wp:effectExtent l="0" t="0" r="11430" b="5080"/>
                <wp:wrapNone/>
                <wp:docPr id="26" name="矩形 26"/>
                <wp:cNvGraphicFramePr/>
                <a:graphic xmlns:a="http://schemas.openxmlformats.org/drawingml/2006/main">
                  <a:graphicData uri="http://schemas.microsoft.com/office/word/2010/wordprocessingShape">
                    <wps:wsp>
                      <wps:cNvSpPr/>
                      <wps:spPr>
                        <a:xfrm>
                          <a:off x="0" y="0"/>
                          <a:ext cx="1131570" cy="248920"/>
                        </a:xfrm>
                        <a:prstGeom prst="rect">
                          <a:avLst/>
                        </a:prstGeom>
                        <a:solidFill>
                          <a:srgbClr val="FFFFFF"/>
                        </a:solidFill>
                        <a:ln>
                          <a:noFill/>
                        </a:ln>
                      </wps:spPr>
                      <wps:txbx>
                        <w:txbxContent>
                          <w:p>
                            <w:pPr>
                              <w:jc w:val="center"/>
                            </w:pPr>
                            <w:r>
                              <w:rPr>
                                <w:rFonts w:hint="eastAsia"/>
                              </w:rPr>
                              <w:t>一般医疗废水</w:t>
                            </w:r>
                          </w:p>
                        </w:txbxContent>
                      </wps:txbx>
                      <wps:bodyPr upright="1"/>
                    </wps:wsp>
                  </a:graphicData>
                </a:graphic>
              </wp:anchor>
            </w:drawing>
          </mc:Choice>
          <mc:Fallback>
            <w:pict>
              <v:rect id="_x0000_s1026" o:spid="_x0000_s1026" o:spt="1" style="position:absolute;left:0pt;margin-left:142.95pt;margin-top:13.3pt;height:19.6pt;width:89.1pt;z-index:251686912;mso-width-relative:page;mso-height-relative:page;" fillcolor="#FFFFFF" filled="t" stroked="f" coordsize="21600,21600" o:gfxdata="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0elw2AAAAAkBAAAPAAAAAAAAAAEAIAAAACIAAABkcnMvZG93bnJldi54bWxQSwECFAAU&#10;AAAACACHTuJAKyWTXrgBAABsAwAADgAAAAAAAAABACAAAAAnAQAAZHJzL2Uyb0RvYy54bWxQSwUG&#10;AAAAAAYABgBZAQAAUQUAAAAA&#10;">
                <v:fill on="t" focussize="0,0"/>
                <v:stroke on="f"/>
                <v:imagedata o:title=""/>
                <o:lock v:ext="edit" aspectratio="f"/>
                <v:textbox>
                  <w:txbxContent>
                    <w:p>
                      <w:pPr>
                        <w:jc w:val="center"/>
                      </w:pPr>
                      <w:r>
                        <w:rPr>
                          <w:rFonts w:hint="eastAsia"/>
                        </w:rPr>
                        <w:t>一般医疗废水</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87936" behindDoc="0" locked="0" layoutInCell="1" allowOverlap="1">
                <wp:simplePos x="0" y="0"/>
                <wp:positionH relativeFrom="column">
                  <wp:posOffset>4118610</wp:posOffset>
                </wp:positionH>
                <wp:positionV relativeFrom="paragraph">
                  <wp:posOffset>168910</wp:posOffset>
                </wp:positionV>
                <wp:extent cx="1131570" cy="248920"/>
                <wp:effectExtent l="0" t="0" r="11430" b="5080"/>
                <wp:wrapNone/>
                <wp:docPr id="25" name="矩形 25"/>
                <wp:cNvGraphicFramePr/>
                <a:graphic xmlns:a="http://schemas.openxmlformats.org/drawingml/2006/main">
                  <a:graphicData uri="http://schemas.microsoft.com/office/word/2010/wordprocessingShape">
                    <wps:wsp>
                      <wps:cNvSpPr/>
                      <wps:spPr>
                        <a:xfrm>
                          <a:off x="0" y="0"/>
                          <a:ext cx="1131570" cy="248920"/>
                        </a:xfrm>
                        <a:prstGeom prst="rect">
                          <a:avLst/>
                        </a:prstGeom>
                        <a:solidFill>
                          <a:srgbClr val="FFFFFF"/>
                        </a:solidFill>
                        <a:ln>
                          <a:noFill/>
                        </a:ln>
                      </wps:spPr>
                      <wps:txbx>
                        <w:txbxContent>
                          <w:p>
                            <w:pPr>
                              <w:jc w:val="center"/>
                            </w:pPr>
                            <w:r>
                              <w:rPr>
                                <w:rFonts w:hint="eastAsia"/>
                              </w:rPr>
                              <w:t>传染、结核废水</w:t>
                            </w:r>
                          </w:p>
                        </w:txbxContent>
                      </wps:txbx>
                      <wps:bodyPr upright="1"/>
                    </wps:wsp>
                  </a:graphicData>
                </a:graphic>
              </wp:anchor>
            </w:drawing>
          </mc:Choice>
          <mc:Fallback>
            <w:pict>
              <v:rect id="_x0000_s1026" o:spid="_x0000_s1026" o:spt="1" style="position:absolute;left:0pt;margin-left:324.3pt;margin-top:13.3pt;height:19.6pt;width:89.1pt;z-index:251687936;mso-width-relative:page;mso-height-relative:page;" fillcolor="#FFFFFF" filled="t" stroked="f" coordsize="21600,21600" o:gfxdata="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jsoU9YAAAAJAQAADwAAAAAAAAABACAAAAAiAAAAZHJzL2Rvd25yZXYueG1sUEsBAhQAFAAA&#10;AAgAh07iQFRhbzG4AQAAbAMAAA4AAAAAAAAAAQAgAAAAJQEAAGRycy9lMm9Eb2MueG1sUEsFBgAA&#10;AAAGAAYAWQEAAE8FAAAAAA==&#10;">
                <v:fill on="t" focussize="0,0"/>
                <v:stroke on="f"/>
                <v:imagedata o:title=""/>
                <o:lock v:ext="edit" aspectratio="f"/>
                <v:textbox>
                  <w:txbxContent>
                    <w:p>
                      <w:pPr>
                        <w:jc w:val="center"/>
                      </w:pPr>
                      <w:r>
                        <w:rPr>
                          <w:rFonts w:hint="eastAsia"/>
                        </w:rPr>
                        <w:t>传染、结核废水</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85888" behindDoc="0" locked="0" layoutInCell="1" allowOverlap="1">
                <wp:simplePos x="0" y="0"/>
                <wp:positionH relativeFrom="character">
                  <wp:posOffset>3533775</wp:posOffset>
                </wp:positionH>
                <wp:positionV relativeFrom="line">
                  <wp:posOffset>274320</wp:posOffset>
                </wp:positionV>
                <wp:extent cx="0" cy="304800"/>
                <wp:effectExtent l="25400" t="0" r="25400" b="0"/>
                <wp:wrapNone/>
                <wp:docPr id="41" name="直接连接符 41"/>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8.25pt;margin-top:21.6pt;height:24pt;width:0pt;mso-position-horizontal-relative:char;mso-position-vertical-relative:line;z-index:251685888;mso-width-relative:page;mso-height-relative:page;" filled="f" stroked="t" coordsize="21600,21600" o:gfxdata="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0rBx2QAAAAkBAAAPAAAAAAAAAAEAIAAAACIAAABkcnMvZG93&#10;bnJldi54bWxQSwECFAAUAAAACACHTuJAYKMJuP8BAADnAwAADgAAAAAAAAABACAAAAAoAQAAZHJz&#10;L2Uyb0RvYy54bWxQSwUGAAAAAAYABgBZAQAAmQU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2976880</wp:posOffset>
                </wp:positionH>
                <wp:positionV relativeFrom="paragraph">
                  <wp:posOffset>242570</wp:posOffset>
                </wp:positionV>
                <wp:extent cx="1066800" cy="360045"/>
                <wp:effectExtent l="5080" t="4445" r="33020" b="41910"/>
                <wp:wrapNone/>
                <wp:docPr id="39" name="矩形 39"/>
                <wp:cNvGraphicFramePr/>
                <a:graphic xmlns:a="http://schemas.openxmlformats.org/drawingml/2006/main">
                  <a:graphicData uri="http://schemas.microsoft.com/office/word/2010/wordprocessingShape">
                    <wps:wsp>
                      <wps:cNvSpPr/>
                      <wps:spPr>
                        <a:xfrm>
                          <a:off x="0" y="0"/>
                          <a:ext cx="1066800" cy="360045"/>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调节池</w:t>
                            </w:r>
                          </w:p>
                        </w:txbxContent>
                      </wps:txbx>
                      <wps:bodyPr lIns="36000" tIns="36000" rIns="36000" bIns="36000" upright="1"/>
                    </wps:wsp>
                  </a:graphicData>
                </a:graphic>
              </wp:anchor>
            </w:drawing>
          </mc:Choice>
          <mc:Fallback>
            <w:pict>
              <v:rect id="_x0000_s1026" o:spid="_x0000_s1026" o:spt="1" style="position:absolute;left:0pt;margin-left:234.4pt;margin-top:19.1pt;height:28.35pt;width:84pt;z-index:251667456;mso-width-relative:page;mso-height-relative:page;" fillcolor="#99CCFF" filled="t" stroked="t" coordsize="21600,21600" o:gfxdata="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l6ARbYAAAA&#10;CQEAAA8AAAAAAAAAAQAgAAAAIgAAAGRycy9kb3ducmV2LnhtbFBLAQIUABQAAAAIAIdO4kDZyiUw&#10;VgIAAOM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调节池</w:t>
                      </w:r>
                    </w:p>
                  </w:txbxContent>
                </v:textbox>
              </v:rect>
            </w:pict>
          </mc:Fallback>
        </mc:AlternateContent>
      </w:r>
    </w:p>
    <w:p>
      <w:pPr>
        <w:tabs>
          <w:tab w:val="left" w:pos="4410"/>
        </w:tabs>
        <w:spacing w:line="360" w:lineRule="exact"/>
        <w:rPr>
          <w:rFonts w:hint="eastAsia" w:hAnsi="宋体" w:cs="仿宋"/>
          <w:color w:val="auto"/>
          <w:sz w:val="32"/>
          <w:szCs w:val="32"/>
        </w:rPr>
      </w:pP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1248" behindDoc="0" locked="0" layoutInCell="1" allowOverlap="1">
                <wp:simplePos x="0" y="0"/>
                <wp:positionH relativeFrom="character">
                  <wp:posOffset>3543300</wp:posOffset>
                </wp:positionH>
                <wp:positionV relativeFrom="line">
                  <wp:posOffset>55880</wp:posOffset>
                </wp:positionV>
                <wp:extent cx="8255" cy="241935"/>
                <wp:effectExtent l="21590" t="0" r="20955" b="12065"/>
                <wp:wrapNone/>
                <wp:docPr id="30" name="直接连接符 30"/>
                <wp:cNvGraphicFramePr/>
                <a:graphic xmlns:a="http://schemas.openxmlformats.org/drawingml/2006/main">
                  <a:graphicData uri="http://schemas.microsoft.com/office/word/2010/wordprocessingShape">
                    <wps:wsp>
                      <wps:cNvCnPr/>
                      <wps:spPr>
                        <a:xfrm>
                          <a:off x="0" y="0"/>
                          <a:ext cx="8255" cy="24193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9pt;margin-top:4.4pt;height:19.05pt;width:0.65pt;mso-position-horizontal-relative:char;mso-position-vertical-relative:line;z-index:251701248;mso-width-relative:page;mso-height-relative:page;" filled="f" stroked="t" coordsize="21600,21600" o:gfxdata="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mlO1PaAAAACAEAAA8AAAAAAAAAAQAgAAAAIgAAAGRycy9k&#10;b3ducmV2LnhtbFBLAQIUABQAAAAIAIdO4kBUKhFCAAIAAOoDAAAOAAAAAAAAAAEAIAAAACkBAABk&#10;cnMvZTJvRG9jLnhtbFBLBQYAAAAABgAGAFkBAACbBQ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6368" behindDoc="0" locked="0" layoutInCell="1" allowOverlap="1">
                <wp:simplePos x="0" y="0"/>
                <wp:positionH relativeFrom="column">
                  <wp:posOffset>1680210</wp:posOffset>
                </wp:positionH>
                <wp:positionV relativeFrom="paragraph">
                  <wp:posOffset>86360</wp:posOffset>
                </wp:positionV>
                <wp:extent cx="718185" cy="375920"/>
                <wp:effectExtent l="4445" t="4445" r="39370" b="38735"/>
                <wp:wrapNone/>
                <wp:docPr id="23" name="矩形 23"/>
                <wp:cNvGraphicFramePr/>
                <a:graphic xmlns:a="http://schemas.openxmlformats.org/drawingml/2006/main">
                  <a:graphicData uri="http://schemas.microsoft.com/office/word/2010/wordprocessingShape">
                    <wps:wsp>
                      <wps:cNvSpPr/>
                      <wps:spPr>
                        <a:xfrm>
                          <a:off x="0" y="0"/>
                          <a:ext cx="718185" cy="375920"/>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jc w:val="both"/>
                              <w:rPr>
                                <w:sz w:val="21"/>
                                <w:szCs w:val="21"/>
                              </w:rPr>
                            </w:pPr>
                            <w:r>
                              <w:rPr>
                                <w:rFonts w:hint="eastAsia"/>
                                <w:sz w:val="21"/>
                                <w:szCs w:val="21"/>
                              </w:rPr>
                              <w:t>加药装置</w:t>
                            </w:r>
                          </w:p>
                        </w:txbxContent>
                      </wps:txbx>
                      <wps:bodyPr lIns="36000" tIns="36000" rIns="36000" bIns="36000" upright="1"/>
                    </wps:wsp>
                  </a:graphicData>
                </a:graphic>
              </wp:anchor>
            </w:drawing>
          </mc:Choice>
          <mc:Fallback>
            <w:pict>
              <v:rect id="_x0000_s1026" o:spid="_x0000_s1026" o:spt="1" style="position:absolute;left:0pt;margin-left:132.3pt;margin-top:6.8pt;height:29.6pt;width:56.55pt;z-index:251706368;mso-width-relative:page;mso-height-relative:page;" fillcolor="#FFC000" filled="t" stroked="t" coordsize="21600,21600" o:gfxdata="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4/2/a&#10;AAAACQEAAA8AAAAAAAAAAQAgAAAAIgAAAGRycy9kb3ducmV2LnhtbFBLAQIUABQAAAAIAIdO4kD/&#10;BvASVwIAAOIEAAAOAAAAAAAAAAEAIAAAACk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jc w:val="both"/>
                        <w:rPr>
                          <w:sz w:val="21"/>
                          <w:szCs w:val="21"/>
                        </w:rPr>
                      </w:pPr>
                      <w:r>
                        <w:rPr>
                          <w:rFonts w:hint="eastAsia"/>
                          <w:sz w:val="21"/>
                          <w:szCs w:val="21"/>
                        </w:rPr>
                        <w:t>加药装置</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99200" behindDoc="0" locked="0" layoutInCell="1" allowOverlap="1">
                <wp:simplePos x="0" y="0"/>
                <wp:positionH relativeFrom="column">
                  <wp:posOffset>3017520</wp:posOffset>
                </wp:positionH>
                <wp:positionV relativeFrom="paragraph">
                  <wp:posOffset>60960</wp:posOffset>
                </wp:positionV>
                <wp:extent cx="1066800" cy="360680"/>
                <wp:effectExtent l="5080" t="4445" r="33020" b="41275"/>
                <wp:wrapNone/>
                <wp:docPr id="22" name="矩形 22"/>
                <wp:cNvGraphicFramePr/>
                <a:graphic xmlns:a="http://schemas.openxmlformats.org/drawingml/2006/main">
                  <a:graphicData uri="http://schemas.microsoft.com/office/word/2010/wordprocessingShape">
                    <wps:wsp>
                      <wps:cNvSpPr/>
                      <wps:spPr>
                        <a:xfrm>
                          <a:off x="0" y="0"/>
                          <a:ext cx="1066800" cy="360680"/>
                        </a:xfrm>
                        <a:prstGeom prst="rect">
                          <a:avLst/>
                        </a:prstGeom>
                        <a:solidFill>
                          <a:srgbClr val="B7DEE8"/>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初沉池</w:t>
                            </w:r>
                          </w:p>
                        </w:txbxContent>
                      </wps:txbx>
                      <wps:bodyPr lIns="36000" tIns="36000" rIns="36000" bIns="36000" upright="1"/>
                    </wps:wsp>
                  </a:graphicData>
                </a:graphic>
              </wp:anchor>
            </w:drawing>
          </mc:Choice>
          <mc:Fallback>
            <w:pict>
              <v:rect id="_x0000_s1026" o:spid="_x0000_s1026" o:spt="1" style="position:absolute;left:0pt;margin-left:237.6pt;margin-top:4.8pt;height:28.4pt;width:84pt;z-index:251699200;mso-width-relative:page;mso-height-relative:page;" fillcolor="#B7DEE8" filled="t" stroked="t" coordsize="21600,21600" o:gfxdata="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MLYxTYAAAA&#10;CAEAAA8AAAAAAAAAAQAgAAAAIgAAAGRycy9kb3ducmV2LnhtbFBLAQIUABQAAAAIAIdO4kAyySgi&#10;VgIAAOM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初沉池</w:t>
                      </w:r>
                    </w:p>
                  </w:txbxContent>
                </v:textbox>
              </v:rect>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705344" behindDoc="0" locked="0" layoutInCell="1" allowOverlap="1">
                <wp:simplePos x="0" y="0"/>
                <wp:positionH relativeFrom="character">
                  <wp:posOffset>-8255</wp:posOffset>
                </wp:positionH>
                <wp:positionV relativeFrom="line">
                  <wp:posOffset>274955</wp:posOffset>
                </wp:positionV>
                <wp:extent cx="428625" cy="1270"/>
                <wp:effectExtent l="0" t="24765" r="3175" b="24765"/>
                <wp:wrapNone/>
                <wp:docPr id="27" name="直接连接符 27"/>
                <wp:cNvGraphicFramePr/>
                <a:graphic xmlns:a="http://schemas.openxmlformats.org/drawingml/2006/main">
                  <a:graphicData uri="http://schemas.microsoft.com/office/word/2010/wordprocessingShape">
                    <wps:wsp>
                      <wps:cNvCnPr/>
                      <wps:spPr>
                        <a:xfrm>
                          <a:off x="0" y="0"/>
                          <a:ext cx="428625" cy="127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0.65pt;margin-top:21.65pt;height:0.1pt;width:33.75pt;mso-position-horizontal-relative:char;mso-position-vertical-relative:line;z-index:251705344;mso-width-relative:page;mso-height-relative:page;" filled="f" stroked="t" coordsize="21600,21600" o:gfxdata="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bNS1DUAAAABwEAAA8AAAAAAAAAAQAgAAAAIgAAAGRycy9kb3du&#10;cmV2LnhtbFBLAQIUABQAAAAIAIdO4kCjPo1cAwIAAOkDAAAOAAAAAAAAAAEAIAAAACMBAABkcnMv&#10;ZTJvRG9jLnhtbFBLBQYAAAAABgAGAFkBAACYBQAAAAA=&#10;">
                <v:fill on="f" focussize="0,0"/>
                <v:stroke color="#000000" joinstyle="round" dashstyle="dash" endarrow="block" endarrowwidth="narrow" endarrowlength="long"/>
                <v:imagedata o:title=""/>
                <o:lock v:ext="edit" aspectratio="f"/>
              </v:line>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71552" behindDoc="0" locked="0" layoutInCell="1" allowOverlap="1">
                <wp:simplePos x="0" y="0"/>
                <wp:positionH relativeFrom="character">
                  <wp:posOffset>12700</wp:posOffset>
                </wp:positionH>
                <wp:positionV relativeFrom="line">
                  <wp:posOffset>127635</wp:posOffset>
                </wp:positionV>
                <wp:extent cx="8255" cy="241935"/>
                <wp:effectExtent l="21590" t="0" r="20955" b="12065"/>
                <wp:wrapNone/>
                <wp:docPr id="28" name="直接连接符 28"/>
                <wp:cNvGraphicFramePr/>
                <a:graphic xmlns:a="http://schemas.openxmlformats.org/drawingml/2006/main">
                  <a:graphicData uri="http://schemas.microsoft.com/office/word/2010/wordprocessingShape">
                    <wps:wsp>
                      <wps:cNvCnPr/>
                      <wps:spPr>
                        <a:xfrm>
                          <a:off x="0" y="0"/>
                          <a:ext cx="8255" cy="24193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1pt;margin-top:10.05pt;height:19.05pt;width:0.65pt;mso-position-horizontal-relative:char;mso-position-vertical-relative:line;z-index:251671552;mso-width-relative:page;mso-height-relative:page;" filled="f" stroked="t" coordsize="21600,21600" o:gfxdata="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1f97XAAAABQEAAA8AAAAAAAAAAQAgAAAAIgAAAGRycy9kb3du&#10;cmV2LnhtbFBLAQIUABQAAAAIAIdO4kDkG62oAAIAAOoDAAAOAAAAAAAAAAEAIAAAACYBAABkcnMv&#10;ZTJvRG9jLnhtbFBLBQYAAAAABgAGAFkBAACY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83840" behindDoc="0" locked="0" layoutInCell="1" allowOverlap="1">
                <wp:simplePos x="0" y="0"/>
                <wp:positionH relativeFrom="character">
                  <wp:posOffset>-36830</wp:posOffset>
                </wp:positionH>
                <wp:positionV relativeFrom="line">
                  <wp:posOffset>233045</wp:posOffset>
                </wp:positionV>
                <wp:extent cx="370205" cy="0"/>
                <wp:effectExtent l="0" t="25400" r="10795" b="25400"/>
                <wp:wrapNone/>
                <wp:docPr id="38" name="直接连接符 38"/>
                <wp:cNvGraphicFramePr/>
                <a:graphic xmlns:a="http://schemas.openxmlformats.org/drawingml/2006/main">
                  <a:graphicData uri="http://schemas.microsoft.com/office/word/2010/wordprocessingShape">
                    <wps:wsp>
                      <wps:cNvCnPr/>
                      <wps:spPr>
                        <a:xfrm>
                          <a:off x="0" y="0"/>
                          <a:ext cx="37020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margin-left:-2.9pt;margin-top:18.35pt;height:0pt;width:29.15pt;mso-position-horizontal-relative:char;mso-position-vertical-relative:line;z-index:251683840;mso-width-relative:page;mso-height-relative:page;" filled="f" stroked="t" coordsize="21600,21600" o:gfxdata="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40xtdcAAAAHAQAADwAAAAAAAAABACAAAAAiAAAAZHJzL2Rv&#10;d25yZXYueG1sUEsBAhQAFAAAAAgAh07iQDNgxagCAgAA6wMAAA4AAAAAAAAAAQAgAAAAJgEAAGRy&#10;cy9lMm9Eb2MueG1sUEsFBgAAAAAGAAYAWQEAAJoFA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73600" behindDoc="0" locked="0" layoutInCell="1" allowOverlap="1">
                <wp:simplePos x="0" y="0"/>
                <wp:positionH relativeFrom="character">
                  <wp:posOffset>3525520</wp:posOffset>
                </wp:positionH>
                <wp:positionV relativeFrom="line">
                  <wp:posOffset>102870</wp:posOffset>
                </wp:positionV>
                <wp:extent cx="0" cy="304800"/>
                <wp:effectExtent l="25400" t="0" r="25400" b="0"/>
                <wp:wrapNone/>
                <wp:docPr id="40" name="直接连接符 40"/>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7.6pt;margin-top:8.1pt;height:24pt;width:0pt;mso-position-horizontal-relative:char;mso-position-vertical-relative:line;z-index:251673600;mso-width-relative:page;mso-height-relative:page;" filled="f" stroked="t" coordsize="21600,21600" o:gfxdata="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FarBfYAAAACQEAAA8AAAAAAAAAAQAgAAAAIgAAAGRycy9kb3du&#10;cmV2LnhtbFBLAQIUABQAAAAIAIdO4kD5CHc2/wEAAOcDAAAOAAAAAAAAAAEAIAAAACcBAABkcnMv&#10;ZTJvRG9jLnhtbFBLBQYAAAAABgAGAFkBAACYBQ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2992755</wp:posOffset>
                </wp:positionH>
                <wp:positionV relativeFrom="paragraph">
                  <wp:posOffset>60960</wp:posOffset>
                </wp:positionV>
                <wp:extent cx="1066800" cy="367665"/>
                <wp:effectExtent l="5080" t="4445" r="33020" b="34290"/>
                <wp:wrapNone/>
                <wp:docPr id="36" name="矩形 36"/>
                <wp:cNvGraphicFramePr/>
                <a:graphic xmlns:a="http://schemas.openxmlformats.org/drawingml/2006/main">
                  <a:graphicData uri="http://schemas.microsoft.com/office/word/2010/wordprocessingShape">
                    <wps:wsp>
                      <wps:cNvSpPr/>
                      <wps:spPr>
                        <a:xfrm>
                          <a:off x="0" y="0"/>
                          <a:ext cx="1066800" cy="367665"/>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A级缺氧池</w:t>
                            </w:r>
                          </w:p>
                        </w:txbxContent>
                      </wps:txbx>
                      <wps:bodyPr lIns="36000" tIns="36000" rIns="36000" bIns="36000" upright="1"/>
                    </wps:wsp>
                  </a:graphicData>
                </a:graphic>
              </wp:anchor>
            </w:drawing>
          </mc:Choice>
          <mc:Fallback>
            <w:pict>
              <v:rect id="_x0000_s1026" o:spid="_x0000_s1026" o:spt="1" style="position:absolute;left:0pt;margin-left:235.65pt;margin-top:4.8pt;height:28.95pt;width:84pt;z-index:251670528;mso-width-relative:page;mso-height-relative:page;" fillcolor="#99CCFF" filled="t" stroked="t" coordsize="21600,21600" o:gfxdata="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zUgwDXAAAA&#10;CAEAAA8AAAAAAAAAAQAgAAAAIgAAAGRycy9kb3ducmV2LnhtbFBLAQIUABQAAAAIAIdO4kCrR+oY&#10;VwIAAOMEAAAOAAAAAAAAAAEAIAAAACY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A级缺氧池</w:t>
                      </w:r>
                    </w:p>
                  </w:txbxContent>
                </v:textbox>
              </v:rect>
            </w:pict>
          </mc:Fallback>
        </mc:AlternateContent>
      </w:r>
      <w:r>
        <w:rPr>
          <w:rFonts w:hint="eastAsia" w:hAnsi="宋体" w:cs="仿宋"/>
          <w:color w:val="auto"/>
          <w:sz w:val="32"/>
          <w:szCs w:val="32"/>
        </w:rPr>
        <w:t xml:space="preserve">                                  </w:t>
      </w:r>
      <w:r>
        <w:rPr>
          <w:rFonts w:hint="eastAsia" w:hAnsi="宋体" w:cs="仿宋"/>
          <w:bCs/>
          <w:color w:val="auto"/>
          <w:sz w:val="32"/>
          <w:szCs w:val="32"/>
        </w:rPr>
        <mc:AlternateContent>
          <mc:Choice Requires="wps">
            <w:drawing>
              <wp:anchor distT="0" distB="0" distL="114300" distR="114300" simplePos="0" relativeHeight="251682816" behindDoc="0" locked="0" layoutInCell="1" allowOverlap="1">
                <wp:simplePos x="0" y="0"/>
                <wp:positionH relativeFrom="character">
                  <wp:posOffset>-25400</wp:posOffset>
                </wp:positionH>
                <wp:positionV relativeFrom="line">
                  <wp:posOffset>198120</wp:posOffset>
                </wp:positionV>
                <wp:extent cx="6985" cy="722630"/>
                <wp:effectExtent l="24130" t="0" r="19685" b="1270"/>
                <wp:wrapNone/>
                <wp:docPr id="43" name="直接连接符 43"/>
                <wp:cNvGraphicFramePr/>
                <a:graphic xmlns:a="http://schemas.openxmlformats.org/drawingml/2006/main">
                  <a:graphicData uri="http://schemas.microsoft.com/office/word/2010/wordprocessingShape">
                    <wps:wsp>
                      <wps:cNvCnPr/>
                      <wps:spPr>
                        <a:xfrm flipH="1" flipV="1">
                          <a:off x="0" y="0"/>
                          <a:ext cx="6985" cy="72263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flip:x y;margin-left:-2pt;margin-top:15.6pt;height:56.9pt;width:0.55pt;mso-position-horizontal-relative:char;mso-position-vertical-relative:line;z-index:251682816;mso-width-relative:page;mso-height-relative:page;" filled="f" stroked="t" coordsize="21600,21600" o:gfxdata="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UMKHXAAAACAEAAA8AAAAA&#10;AAAAAQAgAAAAIgAAAGRycy9kb3ducmV2LnhtbFBLAQIUABQAAAAIAIdO4kCenzc1FQIAAAIEAAAO&#10;AAAAAAAAAAEAIAAAACYBAABkcnMvZTJvRG9jLnhtbFBLBQYAAAAABgAGAFkBAACtBQ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92032" behindDoc="0" locked="0" layoutInCell="1" allowOverlap="1">
                <wp:simplePos x="0" y="0"/>
                <wp:positionH relativeFrom="character">
                  <wp:posOffset>12065</wp:posOffset>
                </wp:positionH>
                <wp:positionV relativeFrom="line">
                  <wp:posOffset>212090</wp:posOffset>
                </wp:positionV>
                <wp:extent cx="370205" cy="0"/>
                <wp:effectExtent l="0" t="25400" r="10795" b="25400"/>
                <wp:wrapNone/>
                <wp:docPr id="37" name="直接连接符 37"/>
                <wp:cNvGraphicFramePr/>
                <a:graphic xmlns:a="http://schemas.openxmlformats.org/drawingml/2006/main">
                  <a:graphicData uri="http://schemas.microsoft.com/office/word/2010/wordprocessingShape">
                    <wps:wsp>
                      <wps:cNvCnPr/>
                      <wps:spPr>
                        <a:xfrm>
                          <a:off x="0" y="0"/>
                          <a:ext cx="37020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margin-left:0.95pt;margin-top:16.7pt;height:0pt;width:29.15pt;mso-position-horizontal-relative:char;mso-position-vertical-relative:line;z-index:251692032;mso-width-relative:page;mso-height-relative:page;" filled="f" stroked="t" coordsize="21600,21600" o:gfxdata="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KIIa1QAAAAYBAAAPAAAAAAAAAAEAIAAAACIAAABkcnMvZG93&#10;bnJldi54bWxQSwECFAAUAAAACACHTuJAJviyIAMCAADrAwAADgAAAAAAAAABACAAAAAkAQAAZHJz&#10;L2Uyb0RvYy54bWxQSwUGAAAAAAYABgBZAQAAmQU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94080" behindDoc="0" locked="0" layoutInCell="1" allowOverlap="1">
                <wp:simplePos x="0" y="0"/>
                <wp:positionH relativeFrom="character">
                  <wp:posOffset>14605</wp:posOffset>
                </wp:positionH>
                <wp:positionV relativeFrom="line">
                  <wp:posOffset>244475</wp:posOffset>
                </wp:positionV>
                <wp:extent cx="333375" cy="0"/>
                <wp:effectExtent l="0" t="25400" r="9525" b="25400"/>
                <wp:wrapNone/>
                <wp:docPr id="31" name="直接连接符 31"/>
                <wp:cNvGraphicFramePr/>
                <a:graphic xmlns:a="http://schemas.openxmlformats.org/drawingml/2006/main">
                  <a:graphicData uri="http://schemas.microsoft.com/office/word/2010/wordprocessingShape">
                    <wps:wsp>
                      <wps:cNvCnPr/>
                      <wps:spPr>
                        <a:xfrm flipH="1">
                          <a:off x="0" y="0"/>
                          <a:ext cx="3333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1.15pt;margin-top:19.25pt;height:0pt;width:26.25pt;mso-position-horizontal-relative:char;mso-position-vertical-relative:line;z-index:251694080;mso-width-relative:page;mso-height-relative:page;" filled="f" stroked="t" coordsize="21600,21600" o:gfxdata="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twejdEAAAAGAQAADwAAAAAAAAABACAAAAAiAAAAZHJzL2Rvd25y&#10;ZXYueG1sUEsBAhQAFAAAAAgAh07iQOKFEFIFAgAA8QMAAA4AAAAAAAAAAQAgAAAAIAEAAGRycy9l&#10;Mm9Eb2MueG1sUEsFBgAAAAAGAAYAWQEAAJcFA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80768" behindDoc="0" locked="0" layoutInCell="1" allowOverlap="1">
                <wp:simplePos x="0" y="0"/>
                <wp:positionH relativeFrom="character">
                  <wp:posOffset>-3175</wp:posOffset>
                </wp:positionH>
                <wp:positionV relativeFrom="line">
                  <wp:posOffset>220345</wp:posOffset>
                </wp:positionV>
                <wp:extent cx="7620" cy="1351280"/>
                <wp:effectExtent l="18415" t="0" r="24765" b="7620"/>
                <wp:wrapNone/>
                <wp:docPr id="49" name="直接连接符 49"/>
                <wp:cNvGraphicFramePr/>
                <a:graphic xmlns:a="http://schemas.openxmlformats.org/drawingml/2006/main">
                  <a:graphicData uri="http://schemas.microsoft.com/office/word/2010/wordprocessingShape">
                    <wps:wsp>
                      <wps:cNvCnPr/>
                      <wps:spPr>
                        <a:xfrm flipV="1">
                          <a:off x="0" y="0"/>
                          <a:ext cx="7620" cy="135128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y;margin-left:-0.25pt;margin-top:17.35pt;height:106.4pt;width:0.6pt;mso-position-horizontal-relative:char;mso-position-vertical-relative:line;z-index:251680768;mso-width-relative:page;mso-height-relative:page;" filled="f" stroked="t" coordsize="21600,21600" o:gfxdata="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3IN23SAAAABQEAAA8AAAAAAAAAAQAgAAAAIgAA&#10;AGRycy9kb3ducmV2LnhtbFBLAQIUABQAAAAIAIdO4kA327MrDgIAAPUDAAAOAAAAAAAAAAEAIAAA&#10;ACEBAABkcnMvZTJvRG9jLnhtbFBLBQYAAAAABgAGAFkBAACh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7152" behindDoc="0" locked="0" layoutInCell="1" allowOverlap="1">
                <wp:simplePos x="0" y="0"/>
                <wp:positionH relativeFrom="column">
                  <wp:posOffset>4488180</wp:posOffset>
                </wp:positionH>
                <wp:positionV relativeFrom="paragraph">
                  <wp:posOffset>287020</wp:posOffset>
                </wp:positionV>
                <wp:extent cx="727075" cy="383540"/>
                <wp:effectExtent l="4445" t="4445" r="30480" b="31115"/>
                <wp:wrapNone/>
                <wp:docPr id="48" name="矩形 48"/>
                <wp:cNvGraphicFramePr/>
                <a:graphic xmlns:a="http://schemas.openxmlformats.org/drawingml/2006/main">
                  <a:graphicData uri="http://schemas.microsoft.com/office/word/2010/wordprocessingShape">
                    <wps:wsp>
                      <wps:cNvSpPr/>
                      <wps:spPr>
                        <a:xfrm>
                          <a:off x="0" y="0"/>
                          <a:ext cx="727075" cy="383540"/>
                        </a:xfrm>
                        <a:prstGeom prst="rect">
                          <a:avLst/>
                        </a:prstGeom>
                        <a:solidFill>
                          <a:srgbClr val="92D05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sz w:val="21"/>
                                <w:szCs w:val="21"/>
                              </w:rPr>
                            </w:pPr>
                            <w:r>
                              <w:rPr>
                                <w:rFonts w:hint="eastAsia"/>
                                <w:sz w:val="21"/>
                                <w:szCs w:val="21"/>
                              </w:rPr>
                              <w:t>污泥回流</w:t>
                            </w:r>
                          </w:p>
                        </w:txbxContent>
                      </wps:txbx>
                      <wps:bodyPr lIns="36000" tIns="36000" rIns="36000" bIns="36000" upright="1"/>
                    </wps:wsp>
                  </a:graphicData>
                </a:graphic>
              </wp:anchor>
            </w:drawing>
          </mc:Choice>
          <mc:Fallback>
            <w:pict>
              <v:rect id="_x0000_s1026" o:spid="_x0000_s1026" o:spt="1" style="position:absolute;left:0pt;margin-left:353.4pt;margin-top:22.6pt;height:30.2pt;width:57.25pt;z-index:251697152;mso-width-relative:page;mso-height-relative:page;" fillcolor="#92D050" filled="t" stroked="t" coordsize="21600,21600" o:gfxdata="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Xutu3X&#10;AAAACgEAAA8AAAAAAAAAAQAgAAAAIgAAAGRycy9kb3ducmV2LnhtbFBLAQIUABQAAAAIAIdO4kDI&#10;XO7HWgIAAOIEAAAOAAAAAAAAAAEAIAAAACY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sz w:val="21"/>
                          <w:szCs w:val="21"/>
                        </w:rPr>
                      </w:pPr>
                      <w:r>
                        <w:rPr>
                          <w:rFonts w:hint="eastAsia"/>
                          <w:sz w:val="21"/>
                          <w:szCs w:val="21"/>
                        </w:rPr>
                        <w:t>污泥回流</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98176" behindDoc="0" locked="0" layoutInCell="1" allowOverlap="1">
                <wp:simplePos x="0" y="0"/>
                <wp:positionH relativeFrom="column">
                  <wp:posOffset>1584960</wp:posOffset>
                </wp:positionH>
                <wp:positionV relativeFrom="paragraph">
                  <wp:posOffset>98425</wp:posOffset>
                </wp:positionV>
                <wp:extent cx="860425" cy="383540"/>
                <wp:effectExtent l="4445" t="4445" r="36830" b="31115"/>
                <wp:wrapNone/>
                <wp:docPr id="44" name="矩形 44"/>
                <wp:cNvGraphicFramePr/>
                <a:graphic xmlns:a="http://schemas.openxmlformats.org/drawingml/2006/main">
                  <a:graphicData uri="http://schemas.microsoft.com/office/word/2010/wordprocessingShape">
                    <wps:wsp>
                      <wps:cNvSpPr/>
                      <wps:spPr>
                        <a:xfrm>
                          <a:off x="0" y="0"/>
                          <a:ext cx="860425" cy="383540"/>
                        </a:xfrm>
                        <a:prstGeom prst="rect">
                          <a:avLst/>
                        </a:prstGeom>
                        <a:solidFill>
                          <a:srgbClr val="92D05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sz w:val="21"/>
                                <w:szCs w:val="21"/>
                              </w:rPr>
                            </w:pPr>
                            <w:r>
                              <w:rPr>
                                <w:rFonts w:hint="eastAsia"/>
                                <w:sz w:val="21"/>
                                <w:szCs w:val="21"/>
                              </w:rPr>
                              <w:t>硝化液回流</w:t>
                            </w:r>
                          </w:p>
                        </w:txbxContent>
                      </wps:txbx>
                      <wps:bodyPr lIns="36000" tIns="36000" rIns="36000" bIns="36000" upright="1"/>
                    </wps:wsp>
                  </a:graphicData>
                </a:graphic>
              </wp:anchor>
            </w:drawing>
          </mc:Choice>
          <mc:Fallback>
            <w:pict>
              <v:rect id="_x0000_s1026" o:spid="_x0000_s1026" o:spt="1" style="position:absolute;left:0pt;margin-left:124.8pt;margin-top:7.75pt;height:30.2pt;width:67.75pt;z-index:251698176;mso-width-relative:page;mso-height-relative:page;" fillcolor="#92D050" filled="t" stroked="t" coordsize="21600,21600" o:gfxdata="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gMBBXX&#10;AAAACQEAAA8AAAAAAAAAAQAgAAAAIgAAAGRycy9kb3ducmV2LnhtbFBLAQIUABQAAAAIAIdO4kCy&#10;6y3SWgIAAOIEAAAOAAAAAAAAAAEAIAAAACY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sz w:val="21"/>
                          <w:szCs w:val="21"/>
                        </w:rPr>
                      </w:pPr>
                      <w:r>
                        <w:rPr>
                          <w:rFonts w:hint="eastAsia"/>
                          <w:sz w:val="21"/>
                          <w:szCs w:val="21"/>
                        </w:rPr>
                        <w:t>硝化液回流</w:t>
                      </w:r>
                    </w:p>
                  </w:txbxContent>
                </v:textbox>
              </v:rect>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75648" behindDoc="0" locked="0" layoutInCell="1" allowOverlap="1">
                <wp:simplePos x="0" y="0"/>
                <wp:positionH relativeFrom="character">
                  <wp:posOffset>20955</wp:posOffset>
                </wp:positionH>
                <wp:positionV relativeFrom="line">
                  <wp:posOffset>139700</wp:posOffset>
                </wp:positionV>
                <wp:extent cx="0" cy="304800"/>
                <wp:effectExtent l="25400" t="0" r="25400" b="0"/>
                <wp:wrapNone/>
                <wp:docPr id="47" name="直接连接符 47"/>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1.65pt;margin-top:11pt;height:24pt;width:0pt;mso-position-horizontal-relative:char;mso-position-vertical-relative:line;z-index:251675648;mso-width-relative:page;mso-height-relative:page;" filled="f" stroked="t" coordsize="21600,21600" o:gfxdata="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oTPM1QAAAAUBAAAPAAAAAAAAAAEAIAAAACIAAABkcnMvZG93bnJl&#10;di54bWxQSwECFAAUAAAACACHTuJAtFbsKwACAADnAwAADgAAAAAAAAABACAAAAAkAQAAZHJzL2Uy&#10;b0RvYy54bWxQSwUGAAAAAAYABgBZAQAAlgU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2983865</wp:posOffset>
                </wp:positionH>
                <wp:positionV relativeFrom="paragraph">
                  <wp:posOffset>113030</wp:posOffset>
                </wp:positionV>
                <wp:extent cx="1066800" cy="344170"/>
                <wp:effectExtent l="5080" t="4445" r="33020" b="32385"/>
                <wp:wrapNone/>
                <wp:docPr id="46" name="矩形 46"/>
                <wp:cNvGraphicFramePr/>
                <a:graphic xmlns:a="http://schemas.openxmlformats.org/drawingml/2006/main">
                  <a:graphicData uri="http://schemas.microsoft.com/office/word/2010/wordprocessingShape">
                    <wps:wsp>
                      <wps:cNvSpPr/>
                      <wps:spPr>
                        <a:xfrm>
                          <a:off x="0" y="0"/>
                          <a:ext cx="1066800" cy="344170"/>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O级耗氧池</w:t>
                            </w:r>
                          </w:p>
                        </w:txbxContent>
                      </wps:txbx>
                      <wps:bodyPr lIns="36000" tIns="36000" rIns="36000" bIns="36000" upright="1"/>
                    </wps:wsp>
                  </a:graphicData>
                </a:graphic>
              </wp:anchor>
            </w:drawing>
          </mc:Choice>
          <mc:Fallback>
            <w:pict>
              <v:rect id="_x0000_s1026" o:spid="_x0000_s1026" o:spt="1" style="position:absolute;left:0pt;margin-left:234.95pt;margin-top:8.9pt;height:27.1pt;width:84pt;z-index:251672576;mso-width-relative:page;mso-height-relative:page;" fillcolor="#99CCFF" filled="t" stroked="t" coordsize="21600,21600" o:gfxdata="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qft&#10;0NcAAAAJAQAADwAAAAAAAAABACAAAAAiAAAAZHJzL2Rvd25yZXYueG1sUEsBAhQAFAAAAAgAh07i&#10;QG5yDphcAgAA4wQAAA4AAAAAAAAAAQAgAAAAJgEAAGRycy9lMm9Eb2MueG1sUEsFBgAAAAAGAAYA&#10;WQEAAPQF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O级耗氧池</w:t>
                      </w:r>
                    </w:p>
                  </w:txbxContent>
                </v:textbox>
              </v:rect>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89984" behindDoc="0" locked="0" layoutInCell="1" allowOverlap="1">
                <wp:simplePos x="0" y="0"/>
                <wp:positionH relativeFrom="character">
                  <wp:posOffset>3551555</wp:posOffset>
                </wp:positionH>
                <wp:positionV relativeFrom="line">
                  <wp:posOffset>174625</wp:posOffset>
                </wp:positionV>
                <wp:extent cx="0" cy="304800"/>
                <wp:effectExtent l="25400" t="0" r="25400" b="0"/>
                <wp:wrapNone/>
                <wp:docPr id="45" name="直接连接符 45"/>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9.65pt;margin-top:13.75pt;height:24pt;width:0pt;mso-position-horizontal-relative:char;mso-position-vertical-relative:line;z-index:251689984;mso-width-relative:page;mso-height-relative:page;" filled="f" stroked="t" coordsize="21600,21600" o:gfxdata="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mHaG2QAAAAkBAAAPAAAAAAAAAAEAIAAAACIAAABkcnMvZG93&#10;bnJldi54bWxQSwECFAAUAAAACACHTuJAxwdg7P8BAADnAwAADgAAAAAAAAABACAAAAAoAQAAZHJz&#10;L2Uyb0RvYy54bWxQSwUGAAAAAAYABgBZAQAAmQU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81792" behindDoc="0" locked="0" layoutInCell="1" allowOverlap="1">
                <wp:simplePos x="0" y="0"/>
                <wp:positionH relativeFrom="character">
                  <wp:posOffset>4075430</wp:posOffset>
                </wp:positionH>
                <wp:positionV relativeFrom="line">
                  <wp:posOffset>26670</wp:posOffset>
                </wp:positionV>
                <wp:extent cx="333375" cy="0"/>
                <wp:effectExtent l="0" t="25400" r="9525" b="25400"/>
                <wp:wrapNone/>
                <wp:docPr id="42" name="直接连接符 42"/>
                <wp:cNvGraphicFramePr/>
                <a:graphic xmlns:a="http://schemas.openxmlformats.org/drawingml/2006/main">
                  <a:graphicData uri="http://schemas.microsoft.com/office/word/2010/wordprocessingShape">
                    <wps:wsp>
                      <wps:cNvCnPr/>
                      <wps:spPr>
                        <a:xfrm flipH="1">
                          <a:off x="0" y="0"/>
                          <a:ext cx="3333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320.9pt;margin-top:2.1pt;height:0pt;width:26.25pt;mso-position-horizontal-relative:char;mso-position-vertical-relative:line;z-index:251681792;mso-width-relative:page;mso-height-relative:page;" filled="f" stroked="t" coordsize="21600,21600" o:gfxdata="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onEIfRAAAABwEAAA8AAAAAAAAAAQAgAAAAIgAAAGRycy9kb3du&#10;cmV2LnhtbFBLAQIUABQAAAAIAIdO4kDJaKoIBgIAAPEDAAAOAAAAAAAAAAEAIAAAACABAABkcnMv&#10;ZTJvRG9jLnhtbFBLBQYAAAAABgAGAFkBAACY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93056" behindDoc="0" locked="0" layoutInCell="1" allowOverlap="1">
                <wp:simplePos x="0" y="0"/>
                <wp:positionH relativeFrom="character">
                  <wp:posOffset>2597150</wp:posOffset>
                </wp:positionH>
                <wp:positionV relativeFrom="line">
                  <wp:posOffset>4445</wp:posOffset>
                </wp:positionV>
                <wp:extent cx="391795" cy="635"/>
                <wp:effectExtent l="0" t="24765" r="1905" b="25400"/>
                <wp:wrapNone/>
                <wp:docPr id="34" name="直接连接符 34"/>
                <wp:cNvGraphicFramePr/>
                <a:graphic xmlns:a="http://schemas.openxmlformats.org/drawingml/2006/main">
                  <a:graphicData uri="http://schemas.microsoft.com/office/word/2010/wordprocessingShape">
                    <wps:wsp>
                      <wps:cNvCnPr/>
                      <wps:spPr>
                        <a:xfrm flipH="1">
                          <a:off x="0" y="0"/>
                          <a:ext cx="391795" cy="635"/>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flip:x;margin-left:204.5pt;margin-top:0.35pt;height:0.05pt;width:30.85pt;mso-position-horizontal-relative:char;mso-position-vertical-relative:line;z-index:251693056;mso-width-relative:page;mso-height-relative:page;" filled="f" stroked="t" coordsize="21600,21600" o:gfxdata="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UgDZLSAAAABQEAAA8AAAAAAAAAAQAgAAAAIgAAAGRy&#10;cy9kb3ducmV2LnhtbFBLAQIUABQAAAAIAIdO4kCzuy0qCwIAAPcDAAAOAAAAAAAAAAEAIAAAACEB&#10;AABkcnMvZTJvRG9jLnhtbFBLBQYAAAAABgAGAFkBAACeBQAAAAA=&#10;">
                <v:fill on="f" focussize="0,0"/>
                <v:stroke color="#000000" joinstyle="round" dashstyle="longDashDot"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259080</wp:posOffset>
                </wp:positionH>
                <wp:positionV relativeFrom="paragraph">
                  <wp:posOffset>239395</wp:posOffset>
                </wp:positionV>
                <wp:extent cx="1066800" cy="708660"/>
                <wp:effectExtent l="5080" t="5080" r="33020" b="35560"/>
                <wp:wrapNone/>
                <wp:docPr id="35" name="矩形 35"/>
                <wp:cNvGraphicFramePr/>
                <a:graphic xmlns:a="http://schemas.openxmlformats.org/drawingml/2006/main">
                  <a:graphicData uri="http://schemas.microsoft.com/office/word/2010/wordprocessingShape">
                    <wps:wsp>
                      <wps:cNvSpPr/>
                      <wps:spPr>
                        <a:xfrm>
                          <a:off x="0" y="0"/>
                          <a:ext cx="1066800" cy="708660"/>
                        </a:xfrm>
                        <a:prstGeom prst="rect">
                          <a:avLst/>
                        </a:prstGeom>
                        <a:solidFill>
                          <a:srgbClr val="CC99FF"/>
                        </a:solidFill>
                        <a:ln w="9525" cap="flat" cmpd="sng">
                          <a:solidFill>
                            <a:srgbClr val="000000"/>
                          </a:solidFill>
                          <a:prstDash val="lgDashDot"/>
                          <a:miter/>
                          <a:headEnd type="none" w="med" len="med"/>
                          <a:tailEnd type="none" w="sm" len="lg"/>
                        </a:ln>
                        <a:effectLst>
                          <a:outerShdw dist="35921" dir="2699999" algn="ctr" rotWithShape="0">
                            <a:srgbClr val="808080"/>
                          </a:outerShdw>
                        </a:effectLst>
                      </wps:spPr>
                      <wps:txbx>
                        <w:txbxContent>
                          <w:p>
                            <w:pPr>
                              <w:pStyle w:val="8"/>
                              <w:spacing w:line="280" w:lineRule="exact"/>
                              <w:rPr>
                                <w:sz w:val="21"/>
                                <w:szCs w:val="21"/>
                              </w:rPr>
                            </w:pPr>
                            <w:r>
                              <w:rPr>
                                <w:rFonts w:hint="eastAsia"/>
                                <w:sz w:val="21"/>
                                <w:szCs w:val="21"/>
                              </w:rPr>
                              <w:t>初沉池、二沉池终沉池、污泥定期外运 处置</w:t>
                            </w:r>
                          </w:p>
                        </w:txbxContent>
                      </wps:txbx>
                      <wps:bodyPr lIns="36000" tIns="36000" rIns="36000" bIns="36000" upright="1"/>
                    </wps:wsp>
                  </a:graphicData>
                </a:graphic>
              </wp:anchor>
            </w:drawing>
          </mc:Choice>
          <mc:Fallback>
            <w:pict>
              <v:rect id="_x0000_s1026" o:spid="_x0000_s1026" o:spt="1" style="position:absolute;left:0pt;margin-left:20.4pt;margin-top:18.85pt;height:55.8pt;width:84pt;z-index:251668480;mso-width-relative:page;mso-height-relative:page;" fillcolor="#CC99FF" filled="t" stroked="t" coordsize="21600,21600" o:gfxdata="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f+P4nYAAAACQEAAA8AAAAAAAAAAQAgAAAAIgAAAGRycy9kb3ducmV2LnhtbFBLAQIUABQAAAAI&#10;AIdO4kCD+m6CXwIAAOcEAAAOAAAAAAAAAAEAIAAAACcBAABkcnMvZTJvRG9jLnhtbFBLBQYAAAAA&#10;BgAGAFkBAAD4BQAAAAA=&#10;">
                <v:fill on="t" focussize="0,0"/>
                <v:stroke color="#000000" joinstyle="miter" dashstyle="longDashDot" endarrowwidth="narrow" endarrowlength="long"/>
                <v:imagedata o:title=""/>
                <o:lock v:ext="edit" aspectratio="f"/>
                <v:shadow on="t" color="#808080" offset="2pt,2pt" origin="0f,0f" matrix="65536f,0f,0f,65536f"/>
                <v:textbox inset="1mm,1mm,1mm,1mm">
                  <w:txbxContent>
                    <w:p>
                      <w:pPr>
                        <w:pStyle w:val="8"/>
                        <w:spacing w:line="280" w:lineRule="exact"/>
                        <w:rPr>
                          <w:sz w:val="21"/>
                          <w:szCs w:val="21"/>
                        </w:rPr>
                      </w:pPr>
                      <w:r>
                        <w:rPr>
                          <w:rFonts w:hint="eastAsia"/>
                          <w:sz w:val="21"/>
                          <w:szCs w:val="21"/>
                        </w:rPr>
                        <w:t>初沉池、二沉池终沉池、污泥定期外运 处置</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3008630</wp:posOffset>
                </wp:positionH>
                <wp:positionV relativeFrom="paragraph">
                  <wp:posOffset>167640</wp:posOffset>
                </wp:positionV>
                <wp:extent cx="1066800" cy="352425"/>
                <wp:effectExtent l="5080" t="4445" r="33020" b="36830"/>
                <wp:wrapNone/>
                <wp:docPr id="33" name="矩形 33"/>
                <wp:cNvGraphicFramePr/>
                <a:graphic xmlns:a="http://schemas.openxmlformats.org/drawingml/2006/main">
                  <a:graphicData uri="http://schemas.microsoft.com/office/word/2010/wordprocessingShape">
                    <wps:wsp>
                      <wps:cNvSpPr/>
                      <wps:spPr>
                        <a:xfrm>
                          <a:off x="0" y="0"/>
                          <a:ext cx="1066800" cy="352425"/>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二淀池</w:t>
                            </w:r>
                          </w:p>
                        </w:txbxContent>
                      </wps:txbx>
                      <wps:bodyPr lIns="36000" tIns="36000" rIns="36000" bIns="36000" upright="1"/>
                    </wps:wsp>
                  </a:graphicData>
                </a:graphic>
              </wp:anchor>
            </w:drawing>
          </mc:Choice>
          <mc:Fallback>
            <w:pict>
              <v:rect id="_x0000_s1026" o:spid="_x0000_s1026" o:spt="1" style="position:absolute;left:0pt;margin-left:236.9pt;margin-top:13.2pt;height:27.75pt;width:84pt;z-index:251674624;mso-width-relative:page;mso-height-relative:page;" fillcolor="#99CCFF" filled="t" stroked="t" coordsize="21600,21600" o:gfxdata="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vvYk2AAA&#10;AAkBAAAPAAAAAAAAAAEAIAAAACIAAABkcnMvZG93bnJldi54bWxQSwECFAAUAAAACACHTuJAyisz&#10;s1cCAADjBAAADgAAAAAAAAABACAAAAAnAQAAZHJzL2Uyb0RvYy54bWxQSwUGAAAAAAYABgBZAQAA&#10;8AU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二淀池</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69504" behindDoc="0" locked="0" layoutInCell="1" allowOverlap="1">
                <wp:simplePos x="0" y="0"/>
                <wp:positionH relativeFrom="character">
                  <wp:posOffset>1325245</wp:posOffset>
                </wp:positionH>
                <wp:positionV relativeFrom="line">
                  <wp:posOffset>115570</wp:posOffset>
                </wp:positionV>
                <wp:extent cx="1666875" cy="0"/>
                <wp:effectExtent l="0" t="25400" r="9525" b="25400"/>
                <wp:wrapNone/>
                <wp:docPr id="4" name="直接连接符 4"/>
                <wp:cNvGraphicFramePr/>
                <a:graphic xmlns:a="http://schemas.openxmlformats.org/drawingml/2006/main">
                  <a:graphicData uri="http://schemas.microsoft.com/office/word/2010/wordprocessingShape">
                    <wps:wsp>
                      <wps:cNvCnPr/>
                      <wps:spPr>
                        <a:xfrm flipH="1">
                          <a:off x="0" y="0"/>
                          <a:ext cx="166687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flip:x;margin-left:104.35pt;margin-top:9.1pt;height:0pt;width:131.25pt;mso-position-horizontal-relative:char;mso-position-vertical-relative:line;z-index:251669504;mso-width-relative:page;mso-height-relative:page;" filled="f" stroked="t" coordsize="21600,21600" o:gfxdata="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WT29dQAAAAJAQAADwAAAAAAAAABACAAAAAiAAAA&#10;ZHJzL2Rvd25yZXYueG1sUEsBAhQAFAAAAAgAh07iQIU5BQgLAgAA9AMAAA4AAAAAAAAAAQAgAAAA&#10;IwEAAGRycy9lMm9Eb2MueG1sUEsFBgAAAAAGAAYAWQEAAKAFA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76672" behindDoc="0" locked="0" layoutInCell="1" allowOverlap="1">
                <wp:simplePos x="0" y="0"/>
                <wp:positionH relativeFrom="character">
                  <wp:posOffset>3542030</wp:posOffset>
                </wp:positionH>
                <wp:positionV relativeFrom="line">
                  <wp:posOffset>228600</wp:posOffset>
                </wp:positionV>
                <wp:extent cx="0" cy="304800"/>
                <wp:effectExtent l="25400" t="0" r="25400" b="0"/>
                <wp:wrapNone/>
                <wp:docPr id="3" name="直接连接符 3"/>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8.9pt;margin-top:18pt;height:24pt;width:0pt;mso-position-horizontal-relative:char;mso-position-vertical-relative:line;z-index:251676672;mso-width-relative:page;mso-height-relative:page;" filled="f" stroked="t" coordsize="21600,21600" o:gfxdata="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D769/ZAAAACQEAAA8AAAAAAAAAAQAgAAAAIgAAAGRycy9kb3du&#10;cmV2LnhtbFBLAQIUABQAAAAIAIdO4kBzehj1/gEAAOUDAAAOAAAAAAAAAAEAIAAAACgBAABkcnMv&#10;ZTJvRG9jLnhtbFBLBQYAAAAABgAGAFkBAACY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16">
            <o:LockedField>false</o:LockedField>
          </o:OLEObject>
        </w:object>
      </w:r>
      <w:r>
        <w:rPr>
          <w:rFonts w:hint="eastAsia" w:hAnsi="宋体" w:cs="仿宋"/>
          <w:color w:val="auto"/>
          <w:sz w:val="32"/>
          <w:szCs w:val="32"/>
        </w:rPr>
        <mc:AlternateContent>
          <mc:Choice Requires="wps">
            <w:drawing>
              <wp:anchor distT="0" distB="0" distL="114300" distR="114300" simplePos="0" relativeHeight="251679744" behindDoc="0" locked="0" layoutInCell="1" allowOverlap="1">
                <wp:simplePos x="0" y="0"/>
                <wp:positionH relativeFrom="character">
                  <wp:posOffset>4091305</wp:posOffset>
                </wp:positionH>
                <wp:positionV relativeFrom="line">
                  <wp:posOffset>45720</wp:posOffset>
                </wp:positionV>
                <wp:extent cx="333375" cy="0"/>
                <wp:effectExtent l="0" t="25400" r="9525" b="25400"/>
                <wp:wrapNone/>
                <wp:docPr id="7" name="直接连接符 7"/>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322.15pt;margin-top:3.6pt;height:0pt;width:26.25pt;mso-position-horizontal-relative:char;mso-position-vertical-relative:line;z-index:251679744;mso-width-relative:page;mso-height-relative:page;" filled="f" stroked="t" coordsize="21600,21600" o:gfxdata="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U6trXAAAABwEAAA8AAAAAAAAAAQAgAAAAIgAAAGRycy9kb3ducmV2&#10;LnhtbFBLAQIUABQAAAAIAIdO4kCZrUxH/QEAAOUDAAAOAAAAAAAAAAEAIAAAACYBAABkcnMvZTJv&#10;RG9jLnhtbFBLBQYAAAAABgAGAFkBAACVBQ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3296" behindDoc="0" locked="0" layoutInCell="1" allowOverlap="1">
                <wp:simplePos x="0" y="0"/>
                <wp:positionH relativeFrom="column">
                  <wp:posOffset>1797685</wp:posOffset>
                </wp:positionH>
                <wp:positionV relativeFrom="paragraph">
                  <wp:posOffset>201930</wp:posOffset>
                </wp:positionV>
                <wp:extent cx="718185" cy="375920"/>
                <wp:effectExtent l="4445" t="4445" r="39370" b="38735"/>
                <wp:wrapNone/>
                <wp:docPr id="8" name="矩形 8"/>
                <wp:cNvGraphicFramePr/>
                <a:graphic xmlns:a="http://schemas.openxmlformats.org/drawingml/2006/main">
                  <a:graphicData uri="http://schemas.microsoft.com/office/word/2010/wordprocessingShape">
                    <wps:wsp>
                      <wps:cNvSpPr/>
                      <wps:spPr>
                        <a:xfrm>
                          <a:off x="0" y="0"/>
                          <a:ext cx="718185" cy="375920"/>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jc w:val="both"/>
                              <w:rPr>
                                <w:sz w:val="21"/>
                                <w:szCs w:val="21"/>
                              </w:rPr>
                            </w:pPr>
                            <w:r>
                              <w:rPr>
                                <w:rFonts w:hint="eastAsia"/>
                                <w:sz w:val="21"/>
                                <w:szCs w:val="21"/>
                              </w:rPr>
                              <w:t>加药装置</w:t>
                            </w:r>
                          </w:p>
                        </w:txbxContent>
                      </wps:txbx>
                      <wps:bodyPr lIns="36000" tIns="36000" rIns="36000" bIns="36000" upright="1"/>
                    </wps:wsp>
                  </a:graphicData>
                </a:graphic>
              </wp:anchor>
            </w:drawing>
          </mc:Choice>
          <mc:Fallback>
            <w:pict>
              <v:rect id="_x0000_s1026" o:spid="_x0000_s1026" o:spt="1" style="position:absolute;left:0pt;margin-left:141.55pt;margin-top:15.9pt;height:29.6pt;width:56.55pt;z-index:251703296;mso-width-relative:page;mso-height-relative:page;" fillcolor="#FFC000" filled="t" stroked="t" coordsize="21600,21600" o:gfxdata="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9c3hHYAAAA&#10;CQEAAA8AAAAAAAAAAQAgAAAAIgAAAGRycy9kb3ducmV2LnhtbFBLAQIUABQAAAAIAIdO4kAxl5UJ&#10;VgIAAOA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jc w:val="both"/>
                        <w:rPr>
                          <w:sz w:val="21"/>
                          <w:szCs w:val="21"/>
                        </w:rPr>
                      </w:pPr>
                      <w:r>
                        <w:rPr>
                          <w:rFonts w:hint="eastAsia"/>
                          <w:sz w:val="21"/>
                          <w:szCs w:val="21"/>
                        </w:rPr>
                        <w:t>加药装置</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700224" behindDoc="0" locked="0" layoutInCell="1" allowOverlap="1">
                <wp:simplePos x="0" y="0"/>
                <wp:positionH relativeFrom="column">
                  <wp:posOffset>3019425</wp:posOffset>
                </wp:positionH>
                <wp:positionV relativeFrom="paragraph">
                  <wp:posOffset>224155</wp:posOffset>
                </wp:positionV>
                <wp:extent cx="1066800" cy="360680"/>
                <wp:effectExtent l="5080" t="4445" r="33020" b="41275"/>
                <wp:wrapNone/>
                <wp:docPr id="9" name="矩形 9"/>
                <wp:cNvGraphicFramePr/>
                <a:graphic xmlns:a="http://schemas.openxmlformats.org/drawingml/2006/main">
                  <a:graphicData uri="http://schemas.microsoft.com/office/word/2010/wordprocessingShape">
                    <wps:wsp>
                      <wps:cNvSpPr/>
                      <wps:spPr>
                        <a:xfrm>
                          <a:off x="0" y="0"/>
                          <a:ext cx="1066800" cy="360680"/>
                        </a:xfrm>
                        <a:prstGeom prst="rect">
                          <a:avLst/>
                        </a:prstGeom>
                        <a:solidFill>
                          <a:srgbClr val="B7DEE8"/>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终沉池</w:t>
                            </w:r>
                          </w:p>
                        </w:txbxContent>
                      </wps:txbx>
                      <wps:bodyPr lIns="36000" tIns="36000" rIns="36000" bIns="36000" upright="1"/>
                    </wps:wsp>
                  </a:graphicData>
                </a:graphic>
              </wp:anchor>
            </w:drawing>
          </mc:Choice>
          <mc:Fallback>
            <w:pict>
              <v:rect id="_x0000_s1026" o:spid="_x0000_s1026" o:spt="1" style="position:absolute;left:0pt;margin-left:237.75pt;margin-top:17.65pt;height:28.4pt;width:84pt;z-index:251700224;mso-width-relative:page;mso-height-relative:page;" fillcolor="#B7DEE8" filled="t" stroked="t" coordsize="21600,21600" o:gfxdata="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7DZ77dkAAAAJ&#10;AQAADwAAAAAAAAABACAAAAAiAAAAZHJzL2Rvd25yZXYueG1sUEsBAhQAFAAAAAgAh07iQBC6RuNU&#10;AgAA4QQAAA4AAAAAAAAAAQAgAAAAKAEAAGRycy9lMm9Eb2MueG1sUEsFBgAAAAAGAAYAWQEAAO4F&#10;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终沉池</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2272" behindDoc="0" locked="0" layoutInCell="1" allowOverlap="1">
                <wp:simplePos x="0" y="0"/>
                <wp:positionH relativeFrom="character">
                  <wp:posOffset>3543300</wp:posOffset>
                </wp:positionH>
                <wp:positionV relativeFrom="line">
                  <wp:posOffset>295275</wp:posOffset>
                </wp:positionV>
                <wp:extent cx="0" cy="304800"/>
                <wp:effectExtent l="25400" t="0" r="25400" b="0"/>
                <wp:wrapNone/>
                <wp:docPr id="10" name="直接连接符 10"/>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9pt;margin-top:23.25pt;height:24pt;width:0pt;mso-position-horizontal-relative:char;mso-position-vertical-relative:line;z-index:251702272;mso-width-relative:page;mso-height-relative:page;" filled="f" stroked="t" coordsize="21600,21600" o:gfxdata="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CDFE2QAAAAkBAAAPAAAAAAAAAAEAIAAAACIAAABkcnMvZG93&#10;bnJldi54bWxQSwECFAAUAAAACACHTuJAXQLM9/8BAADnAwAADgAAAAAAAAABACAAAAAoAQAAZHJz&#10;L2Uyb0RvYy54bWxQSwUGAAAAAAYABgBZAQAAmQU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704320" behindDoc="0" locked="0" layoutInCell="1" allowOverlap="1">
                <wp:simplePos x="0" y="0"/>
                <wp:positionH relativeFrom="character">
                  <wp:posOffset>2628265</wp:posOffset>
                </wp:positionH>
                <wp:positionV relativeFrom="line">
                  <wp:posOffset>133985</wp:posOffset>
                </wp:positionV>
                <wp:extent cx="428625" cy="1270"/>
                <wp:effectExtent l="0" t="24765" r="3175" b="24765"/>
                <wp:wrapNone/>
                <wp:docPr id="11" name="直接连接符 11"/>
                <wp:cNvGraphicFramePr/>
                <a:graphic xmlns:a="http://schemas.openxmlformats.org/drawingml/2006/main">
                  <a:graphicData uri="http://schemas.microsoft.com/office/word/2010/wordprocessingShape">
                    <wps:wsp>
                      <wps:cNvCnPr/>
                      <wps:spPr>
                        <a:xfrm>
                          <a:off x="0" y="0"/>
                          <a:ext cx="428625" cy="127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206.95pt;margin-top:10.55pt;height:0.1pt;width:33.75pt;mso-position-horizontal-relative:char;mso-position-vertical-relative:line;z-index:251704320;mso-width-relative:page;mso-height-relative:page;" filled="f" stroked="t" coordsize="21600,21600" o:gfxdata="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w05n1wAAAAkBAAAPAAAAAAAAAAEAIAAAACIAAABkcnMvZG93&#10;bnJldi54bWxQSwECFAAUAAAACACHTuJA9mSbbQECAADpAwAADgAAAAAAAAABACAAAAAmAQAAZHJz&#10;L2Uyb0RvYy54bWxQSwUGAAAAAAYABgBZAQAAmQUAAAAA&#10;">
                <v:fill on="f" focussize="0,0"/>
                <v:stroke color="#000000" joinstyle="round" dashstyle="dash"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1008" behindDoc="0" locked="0" layoutInCell="1" allowOverlap="1">
                <wp:simplePos x="0" y="0"/>
                <wp:positionH relativeFrom="column">
                  <wp:posOffset>1747520</wp:posOffset>
                </wp:positionH>
                <wp:positionV relativeFrom="paragraph">
                  <wp:posOffset>264795</wp:posOffset>
                </wp:positionV>
                <wp:extent cx="860425" cy="597535"/>
                <wp:effectExtent l="5080" t="4445" r="36195" b="33020"/>
                <wp:wrapNone/>
                <wp:docPr id="12" name="矩形 12"/>
                <wp:cNvGraphicFramePr/>
                <a:graphic xmlns:a="http://schemas.openxmlformats.org/drawingml/2006/main">
                  <a:graphicData uri="http://schemas.microsoft.com/office/word/2010/wordprocessingShape">
                    <wps:wsp>
                      <wps:cNvSpPr/>
                      <wps:spPr>
                        <a:xfrm>
                          <a:off x="0" y="0"/>
                          <a:ext cx="860425" cy="597535"/>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无氯消毒剂</w:t>
                            </w:r>
                          </w:p>
                          <w:p>
                            <w:pPr>
                              <w:pStyle w:val="8"/>
                              <w:spacing w:line="280" w:lineRule="exact"/>
                              <w:rPr>
                                <w:sz w:val="21"/>
                                <w:szCs w:val="21"/>
                              </w:rPr>
                            </w:pPr>
                            <w:r>
                              <w:rPr>
                                <w:rFonts w:hint="eastAsia"/>
                                <w:sz w:val="21"/>
                                <w:szCs w:val="21"/>
                              </w:rPr>
                              <w:t>紫外双杀</w:t>
                            </w:r>
                          </w:p>
                        </w:txbxContent>
                      </wps:txbx>
                      <wps:bodyPr lIns="36000" tIns="36000" rIns="36000" bIns="36000" upright="1"/>
                    </wps:wsp>
                  </a:graphicData>
                </a:graphic>
              </wp:anchor>
            </w:drawing>
          </mc:Choice>
          <mc:Fallback>
            <w:pict>
              <v:rect id="_x0000_s1026" o:spid="_x0000_s1026" o:spt="1" style="position:absolute;left:0pt;margin-left:137.6pt;margin-top:20.85pt;height:47.05pt;width:67.75pt;z-index:251691008;mso-width-relative:page;mso-height-relative:page;" fillcolor="#FFC000" filled="t" stroked="t" coordsize="21600,21600" o:gfxdata="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4WfvNoA&#10;AAAKAQAADwAAAAAAAAABACAAAAAiAAAAZHJzL2Rvd25yZXYueG1sUEsBAhQAFAAAAAgAh07iQLX0&#10;6/5WAgAA4gQAAA4AAAAAAAAAAQAgAAAAKQEAAGRycy9lMm9Eb2MueG1sUEsFBgAAAAAGAAYAWQEA&#10;APEF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无氯消毒剂</w:t>
                      </w:r>
                    </w:p>
                    <w:p>
                      <w:pPr>
                        <w:pStyle w:val="8"/>
                        <w:spacing w:line="280" w:lineRule="exact"/>
                        <w:rPr>
                          <w:sz w:val="21"/>
                          <w:szCs w:val="21"/>
                        </w:rPr>
                      </w:pPr>
                      <w:r>
                        <w:rPr>
                          <w:rFonts w:hint="eastAsia"/>
                          <w:sz w:val="21"/>
                          <w:szCs w:val="21"/>
                        </w:rPr>
                        <w:t>紫外双杀</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5104" behindDoc="0" locked="0" layoutInCell="1" allowOverlap="1">
                <wp:simplePos x="0" y="0"/>
                <wp:positionH relativeFrom="column">
                  <wp:posOffset>3001645</wp:posOffset>
                </wp:positionH>
                <wp:positionV relativeFrom="paragraph">
                  <wp:posOffset>20320</wp:posOffset>
                </wp:positionV>
                <wp:extent cx="1066800" cy="383540"/>
                <wp:effectExtent l="5080" t="4445" r="33020" b="31115"/>
                <wp:wrapNone/>
                <wp:docPr id="13" name="矩形 13"/>
                <wp:cNvGraphicFramePr/>
                <a:graphic xmlns:a="http://schemas.openxmlformats.org/drawingml/2006/main">
                  <a:graphicData uri="http://schemas.microsoft.com/office/word/2010/wordprocessingShape">
                    <wps:wsp>
                      <wps:cNvSpPr/>
                      <wps:spPr>
                        <a:xfrm>
                          <a:off x="0" y="0"/>
                          <a:ext cx="1066800" cy="383540"/>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消毒池</w:t>
                            </w:r>
                          </w:p>
                        </w:txbxContent>
                      </wps:txbx>
                      <wps:bodyPr lIns="36000" tIns="36000" rIns="36000" bIns="36000" upright="1"/>
                    </wps:wsp>
                  </a:graphicData>
                </a:graphic>
              </wp:anchor>
            </w:drawing>
          </mc:Choice>
          <mc:Fallback>
            <w:pict>
              <v:rect id="_x0000_s1026" o:spid="_x0000_s1026" o:spt="1" style="position:absolute;left:0pt;margin-left:236.35pt;margin-top:1.6pt;height:30.2pt;width:84pt;z-index:251695104;mso-width-relative:page;mso-height-relative:page;" fillcolor="#FFC000" filled="t" stroked="t" coordsize="21600,21600" o:gfxdata="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eu6ztgA&#10;AAAIAQAADwAAAAAAAAABACAAAAAiAAAAZHJzL2Rvd25yZXYueG1sUEsBAhQAFAAAAAgAh07iQD2R&#10;kPBYAgAA4wQAAA4AAAAAAAAAAQAgAAAAJwEAAGRycy9lMm9Eb2MueG1sUEsFBgAAAAAGAAYAWQEA&#10;APEF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消毒池</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88960" behindDoc="0" locked="0" layoutInCell="1" allowOverlap="1">
                <wp:simplePos x="0" y="0"/>
                <wp:positionH relativeFrom="character">
                  <wp:posOffset>2586990</wp:posOffset>
                </wp:positionH>
                <wp:positionV relativeFrom="line">
                  <wp:posOffset>292735</wp:posOffset>
                </wp:positionV>
                <wp:extent cx="428625" cy="1270"/>
                <wp:effectExtent l="0" t="24765" r="3175" b="24765"/>
                <wp:wrapNone/>
                <wp:docPr id="14" name="直接连接符 14"/>
                <wp:cNvGraphicFramePr/>
                <a:graphic xmlns:a="http://schemas.openxmlformats.org/drawingml/2006/main">
                  <a:graphicData uri="http://schemas.microsoft.com/office/word/2010/wordprocessingShape">
                    <wps:wsp>
                      <wps:cNvCnPr/>
                      <wps:spPr>
                        <a:xfrm>
                          <a:off x="0" y="0"/>
                          <a:ext cx="428625" cy="127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203.7pt;margin-top:23.05pt;height:0.1pt;width:33.75pt;mso-position-horizontal-relative:char;mso-position-vertical-relative:line;z-index:251688960;mso-width-relative:page;mso-height-relative:page;" filled="f" stroked="t" coordsize="21600,21600" o:gfxdata="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kb43dYAAAAJAQAADwAAAAAAAAABACAAAAAiAAAAZHJzL2Rv&#10;d25yZXYueG1sUEsBAhQAFAAAAAgAh07iQA244bwDAgAA6QMAAA4AAAAAAAAAAQAgAAAAJQEAAGRy&#10;cy9lMm9Eb2MueG1sUEsFBgAAAAAGAAYAWQEAAJoFAAAAAA==&#10;">
                <v:fill on="f" focussize="0,0"/>
                <v:stroke color="#000000" joinstyle="round" dashstyle="dash"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8720" behindDoc="0" locked="0" layoutInCell="1" allowOverlap="1">
                <wp:simplePos x="0" y="0"/>
                <wp:positionH relativeFrom="character">
                  <wp:posOffset>3551555</wp:posOffset>
                </wp:positionH>
                <wp:positionV relativeFrom="line">
                  <wp:posOffset>123190</wp:posOffset>
                </wp:positionV>
                <wp:extent cx="6350" cy="407670"/>
                <wp:effectExtent l="23495" t="0" r="20955" b="11430"/>
                <wp:wrapNone/>
                <wp:docPr id="15" name="直接连接符 15"/>
                <wp:cNvGraphicFramePr/>
                <a:graphic xmlns:a="http://schemas.openxmlformats.org/drawingml/2006/main">
                  <a:graphicData uri="http://schemas.microsoft.com/office/word/2010/wordprocessingShape">
                    <wps:wsp>
                      <wps:cNvCnPr/>
                      <wps:spPr>
                        <a:xfrm flipH="1">
                          <a:off x="0" y="0"/>
                          <a:ext cx="6350" cy="40767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279.65pt;margin-top:9.7pt;height:32.1pt;width:0.5pt;mso-position-horizontal-relative:char;mso-position-vertical-relative:line;z-index:251678720;mso-width-relative:page;mso-height-relative:page;" filled="f" stroked="t" coordsize="21600,21600" o:gfxdata="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0WLjUAAAACQEAAA8AAAAAAAAAAQAgAAAAIgAA&#10;AGRycy9kb3ducmV2LnhtbFBLAQIUABQAAAAIAIdO4kCml7BFDAIAAPQDAAAOAAAAAAAAAAEAIAAA&#10;ACMBAABkcnMvZTJvRG9jLnhtbFBLBQYAAAAABgAGAFkBAAChBQAAAAA=&#10;">
                <v:fill on="f" focussize="0,0"/>
                <v:stroke color="#000000" joinstyle="round" endarrow="block" endarrowwidth="narrow" endarrowlength="long"/>
                <v:imagedata o:title=""/>
                <o:lock v:ext="edit" aspectratio="f"/>
              </v:line>
            </w:pict>
          </mc:Fallback>
        </mc:AlternateContent>
      </w:r>
    </w:p>
    <w:p>
      <w:pPr>
        <w:tabs>
          <w:tab w:val="left" w:pos="764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7696" behindDoc="0" locked="0" layoutInCell="1" allowOverlap="1">
                <wp:simplePos x="0" y="0"/>
                <wp:positionH relativeFrom="column">
                  <wp:posOffset>3039745</wp:posOffset>
                </wp:positionH>
                <wp:positionV relativeFrom="paragraph">
                  <wp:posOffset>220980</wp:posOffset>
                </wp:positionV>
                <wp:extent cx="1066800" cy="352425"/>
                <wp:effectExtent l="5080" t="4445" r="33020" b="36830"/>
                <wp:wrapNone/>
                <wp:docPr id="16" name="矩形 16"/>
                <wp:cNvGraphicFramePr/>
                <a:graphic xmlns:a="http://schemas.openxmlformats.org/drawingml/2006/main">
                  <a:graphicData uri="http://schemas.microsoft.com/office/word/2010/wordprocessingShape">
                    <wps:wsp>
                      <wps:cNvSpPr/>
                      <wps:spPr>
                        <a:xfrm>
                          <a:off x="0" y="0"/>
                          <a:ext cx="1066800" cy="352425"/>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8"/>
                              <w:spacing w:line="280" w:lineRule="exact"/>
                              <w:rPr>
                                <w:rFonts w:hint="eastAsia"/>
                                <w:sz w:val="21"/>
                                <w:szCs w:val="21"/>
                              </w:rPr>
                            </w:pPr>
                            <w:r>
                              <w:rPr>
                                <w:rFonts w:hint="eastAsia"/>
                                <w:sz w:val="21"/>
                                <w:szCs w:val="21"/>
                              </w:rPr>
                              <w:t>达标排放</w:t>
                            </w:r>
                          </w:p>
                        </w:txbxContent>
                      </wps:txbx>
                      <wps:bodyPr lIns="36000" tIns="36000" rIns="36000" bIns="36000" upright="1"/>
                    </wps:wsp>
                  </a:graphicData>
                </a:graphic>
              </wp:anchor>
            </w:drawing>
          </mc:Choice>
          <mc:Fallback>
            <w:pict>
              <v:rect id="_x0000_s1026" o:spid="_x0000_s1026" o:spt="1" style="position:absolute;left:0pt;margin-left:239.35pt;margin-top:17.4pt;height:27.75pt;width:84pt;z-index:251677696;mso-width-relative:page;mso-height-relative:page;" fillcolor="#FFC000" filled="t" stroked="t" coordsize="21600,21600" o:gfxdata="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hWzv7Z&#10;AAAACQEAAA8AAAAAAAAAAQAgAAAAIgAAAGRycy9kb3ducmV2LnhtbFBLAQIUABQAAAAIAIdO4kC9&#10;I7qjWAIAAOMEAAAOAAAAAAAAAAEAIAAAACg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8"/>
                        <w:spacing w:line="280" w:lineRule="exact"/>
                        <w:rPr>
                          <w:rFonts w:hint="eastAsia"/>
                          <w:sz w:val="21"/>
                          <w:szCs w:val="21"/>
                        </w:rPr>
                      </w:pPr>
                      <w:r>
                        <w:rPr>
                          <w:rFonts w:hint="eastAsia"/>
                          <w:sz w:val="21"/>
                          <w:szCs w:val="21"/>
                        </w:rPr>
                        <w:t>达标排放</w:t>
                      </w:r>
                    </w:p>
                  </w:txbxContent>
                </v:textbox>
              </v:rect>
            </w:pict>
          </mc:Fallback>
        </mc:AlternateContent>
      </w:r>
      <w:r>
        <w:rPr>
          <w:rFonts w:hint="eastAsia" w:hAnsi="宋体" w:cs="仿宋"/>
          <w:color w:val="auto"/>
          <w:sz w:val="32"/>
          <w:szCs w:val="32"/>
        </w:rPr>
        <w:tab/>
      </w:r>
    </w:p>
    <w:p>
      <w:pPr>
        <w:spacing w:line="360" w:lineRule="exact"/>
        <w:rPr>
          <w:rFonts w:hint="eastAsia" w:hAnsi="宋体" w:cs="仿宋"/>
          <w:bCs/>
          <w:color w:val="auto"/>
          <w:sz w:val="32"/>
          <w:szCs w:val="32"/>
        </w:rPr>
      </w:pPr>
      <w:r>
        <w:rPr>
          <w:rFonts w:hint="eastAsia" w:hAnsi="宋体" w:cs="仿宋"/>
          <w:bCs/>
          <w:color w:val="auto"/>
          <w:sz w:val="32"/>
          <w:szCs w:val="32"/>
        </w:rPr>
        <w:t xml:space="preserve">                                        </w:t>
      </w:r>
    </w:p>
    <w:p>
      <w:pPr>
        <w:adjustRightInd w:val="0"/>
        <w:snapToGrid w:val="0"/>
        <w:spacing w:line="400" w:lineRule="exact"/>
        <w:ind w:firstLine="622" w:firstLineChars="200"/>
        <w:rPr>
          <w:rFonts w:hint="eastAsia" w:hAnsi="宋体" w:cs="仿宋"/>
          <w:bCs/>
          <w:color w:val="auto"/>
          <w:sz w:val="32"/>
          <w:szCs w:val="32"/>
        </w:rPr>
      </w:pPr>
      <w:r>
        <w:rPr>
          <w:rFonts w:hint="eastAsia" w:hAnsi="宋体" w:cs="仿宋"/>
          <w:bCs/>
          <w:color w:val="auto"/>
          <w:sz w:val="32"/>
          <w:szCs w:val="32"/>
        </w:rPr>
        <w:t>图例：</w:t>
      </w:r>
    </w:p>
    <w:p>
      <w:pPr>
        <w:adjustRightInd w:val="0"/>
        <w:snapToGrid w:val="0"/>
        <w:spacing w:line="400" w:lineRule="exact"/>
        <w:ind w:firstLine="622" w:firstLineChars="200"/>
        <w:rPr>
          <w:rFonts w:hint="eastAsia" w:hAnsi="宋体" w:cs="仿宋"/>
          <w:bCs/>
          <w:color w:val="auto"/>
          <w:sz w:val="32"/>
          <w:szCs w:val="32"/>
        </w:rPr>
      </w:pPr>
      <w:r>
        <w:rPr>
          <w:rFonts w:hint="eastAsia" w:hAnsi="宋体" w:cs="仿宋"/>
          <w:bCs/>
          <w:color w:val="auto"/>
          <w:sz w:val="32"/>
          <w:szCs w:val="32"/>
        </w:rPr>
        <w:t>污水管道和流向：</w:t>
      </w:r>
      <w:r>
        <w:rPr>
          <w:rFonts w:hint="eastAsia" w:hAnsi="宋体" w:cs="仿宋"/>
          <w:bCs/>
          <w:color w:val="auto"/>
          <w:sz w:val="32"/>
          <w:szCs w:val="32"/>
        </w:rPr>
        <mc:AlternateContent>
          <mc:Choice Requires="wps">
            <w:drawing>
              <wp:anchor distT="0" distB="0" distL="114300" distR="114300" simplePos="0" relativeHeight="251663360" behindDoc="0" locked="0" layoutInCell="1" allowOverlap="1">
                <wp:simplePos x="0" y="0"/>
                <wp:positionH relativeFrom="character">
                  <wp:posOffset>0</wp:posOffset>
                </wp:positionH>
                <wp:positionV relativeFrom="line">
                  <wp:posOffset>177800</wp:posOffset>
                </wp:positionV>
                <wp:extent cx="600075" cy="0"/>
                <wp:effectExtent l="0" t="25400" r="9525" b="25400"/>
                <wp:wrapNone/>
                <wp:docPr id="17" name="直接连接符 17"/>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0pt;margin-top:14pt;height:0pt;width:47.25pt;mso-position-horizontal-relative:char;mso-position-vertical-relative:line;z-index:251663360;mso-width-relative:page;mso-height-relative:page;" filled="f" stroked="t" coordsize="21600,21600" o:gfxdata="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29Pg7VAAAABQEAAA8AAAAAAAAAAQAgAAAAIgAAAGRycy9kb3ducmV2&#10;LnhtbFBLAQIUABQAAAAIAIdO4kBVxkTj/wEAAOcDAAAOAAAAAAAAAAEAIAAAACQBAABkcnMvZTJv&#10;RG9jLnhtbFBLBQYAAAAABgAGAFkBAACVBQAAAAA=&#10;">
                <v:fill on="f" focussize="0,0"/>
                <v:stroke color="#000000" joinstyle="round" endarrow="block" endarrowwidth="narrow" endarrowlength="long"/>
                <v:imagedata o:title=""/>
                <o:lock v:ext="edit" aspectratio="f"/>
              </v:line>
            </w:pict>
          </mc:Fallback>
        </mc:AlternateContent>
      </w:r>
      <w:r>
        <w:rPr>
          <w:rFonts w:hint="eastAsia" w:hAnsi="宋体" w:cs="仿宋"/>
          <w:bCs/>
          <w:color w:val="auto"/>
          <w:sz w:val="32"/>
          <w:szCs w:val="32"/>
        </w:rPr>
        <w:t xml:space="preserve">                     污泥管道和流向：</w:t>
      </w:r>
      <w:r>
        <w:rPr>
          <w:rFonts w:hint="eastAsia" w:hAnsi="宋体" w:cs="仿宋"/>
          <w:bCs/>
          <w:color w:val="auto"/>
          <w:sz w:val="32"/>
          <w:szCs w:val="32"/>
        </w:rPr>
        <mc:AlternateContent>
          <mc:Choice Requires="wps">
            <w:drawing>
              <wp:anchor distT="0" distB="0" distL="114300" distR="114300" simplePos="0" relativeHeight="251664384" behindDoc="0" locked="0" layoutInCell="1" allowOverlap="1">
                <wp:simplePos x="0" y="0"/>
                <wp:positionH relativeFrom="character">
                  <wp:posOffset>0</wp:posOffset>
                </wp:positionH>
                <wp:positionV relativeFrom="line">
                  <wp:posOffset>152400</wp:posOffset>
                </wp:positionV>
                <wp:extent cx="600075" cy="0"/>
                <wp:effectExtent l="0" t="25400" r="9525" b="25400"/>
                <wp:wrapNone/>
                <wp:docPr id="18" name="直接连接符 18"/>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margin-left:0pt;margin-top:12pt;height:0pt;width:47.25pt;mso-position-horizontal-relative:char;mso-position-vertical-relative:line;z-index:251664384;mso-width-relative:page;mso-height-relative:page;" filled="f" stroked="t" coordsize="21600,21600" o:gfxdata="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ZruI1gAAAAUBAAAPAAAAAAAAAAEAIAAAACIAAABkcnMvZG93&#10;bnJldi54bWxQSwECFAAUAAAACACHTuJAEW/1lQICAADrAwAADgAAAAAAAAABACAAAAAlAQAAZHJz&#10;L2Uyb0RvYy54bWxQSwUGAAAAAAYABgBZAQAAmQUAAAAA&#10;">
                <v:fill on="f" focussize="0,0"/>
                <v:stroke color="#000000" joinstyle="round" dashstyle="longDashDot" endarrow="block" endarrowwidth="narrow" endarrowlength="long"/>
                <v:imagedata o:title=""/>
                <o:lock v:ext="edit" aspectratio="f"/>
              </v:line>
            </w:pict>
          </mc:Fallback>
        </mc:AlternateContent>
      </w:r>
    </w:p>
    <w:p>
      <w:pPr>
        <w:adjustRightInd w:val="0"/>
        <w:snapToGrid w:val="0"/>
        <w:spacing w:line="400" w:lineRule="exact"/>
        <w:ind w:firstLine="622" w:firstLineChars="200"/>
        <w:rPr>
          <w:rFonts w:hint="eastAsia" w:hAnsi="宋体" w:cs="仿宋"/>
          <w:color w:val="auto"/>
          <w:sz w:val="32"/>
          <w:szCs w:val="32"/>
        </w:rPr>
      </w:pPr>
      <w:r>
        <w:rPr>
          <w:rFonts w:hint="eastAsia" w:hAnsi="宋体" w:cs="仿宋"/>
          <w:bCs/>
          <w:color w:val="auto"/>
          <w:sz w:val="32"/>
          <w:szCs w:val="32"/>
        </w:rPr>
        <w:t>药剂管道和流向：</w:t>
      </w:r>
      <w:r>
        <w:rPr>
          <w:rFonts w:hint="eastAsia" w:hAnsi="宋体" w:cs="仿宋"/>
          <w:bCs/>
          <w:color w:val="auto"/>
          <w:sz w:val="32"/>
          <w:szCs w:val="32"/>
        </w:rPr>
        <mc:AlternateContent>
          <mc:Choice Requires="wps">
            <w:drawing>
              <wp:anchor distT="0" distB="0" distL="114300" distR="114300" simplePos="0" relativeHeight="251665408" behindDoc="0" locked="0" layoutInCell="1" allowOverlap="1">
                <wp:simplePos x="0" y="0"/>
                <wp:positionH relativeFrom="character">
                  <wp:posOffset>0</wp:posOffset>
                </wp:positionH>
                <wp:positionV relativeFrom="line">
                  <wp:posOffset>152400</wp:posOffset>
                </wp:positionV>
                <wp:extent cx="600075" cy="0"/>
                <wp:effectExtent l="0" t="25400" r="9525" b="25400"/>
                <wp:wrapNone/>
                <wp:docPr id="19" name="直接连接符 19"/>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0pt;margin-top:12pt;height:0pt;width:47.25pt;mso-position-horizontal-relative:char;mso-position-vertical-relative:line;z-index:251665408;mso-width-relative:page;mso-height-relative:page;" filled="f" stroked="t" coordsize="21600,21600" o:gfxdata="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0zwY0wAAAAUBAAAPAAAAAAAAAAEAIAAAACIAAABkcnMvZG93bnJldi54&#10;bWxQSwECFAAUAAAACACHTuJA9VjQvP8BAADmAwAADgAAAAAAAAABACAAAAAiAQAAZHJzL2Uyb0Rv&#10;Yy54bWxQSwUGAAAAAAYABgBZAQAAkwUAAAAA&#10;">
                <v:fill on="f" focussize="0,0"/>
                <v:stroke color="#000000" joinstyle="round" dashstyle="dash" endarrow="block" endarrowwidth="narrow" endarrowlength="long"/>
                <v:imagedata o:title=""/>
                <o:lock v:ext="edit" aspectratio="f"/>
              </v:line>
            </w:pict>
          </mc:Fallback>
        </mc:AlternateContent>
      </w:r>
      <w:r>
        <w:rPr>
          <w:rFonts w:hint="eastAsia" w:hAnsi="宋体" w:cs="仿宋"/>
          <w:bCs/>
          <w:color w:val="auto"/>
          <w:sz w:val="32"/>
          <w:szCs w:val="32"/>
        </w:rPr>
        <w:t xml:space="preserve">                     </w:t>
      </w:r>
      <w:bookmarkEnd w:id="58"/>
      <w:bookmarkEnd w:id="59"/>
    </w:p>
    <w:p>
      <w:pPr>
        <w:rPr>
          <w:rFonts w:hint="eastAsia" w:hAnsi="宋体"/>
          <w:color w:val="auto"/>
          <w:sz w:val="32"/>
          <w:szCs w:val="32"/>
        </w:rPr>
      </w:pPr>
    </w:p>
    <w:p>
      <w:pPr>
        <w:rPr>
          <w:rFonts w:hint="eastAsia" w:ascii="黑体" w:hAnsi="黑体" w:eastAsia="黑体"/>
          <w:color w:val="auto"/>
          <w:sz w:val="32"/>
          <w:szCs w:val="32"/>
        </w:rPr>
      </w:pPr>
      <w:bookmarkStart w:id="60" w:name="_Toc73790212"/>
      <w:bookmarkStart w:id="61" w:name="_Toc178905076"/>
      <w:bookmarkStart w:id="62" w:name="_Toc183137088"/>
      <w:bookmarkStart w:id="63" w:name="_Toc435448650"/>
      <w:bookmarkStart w:id="64" w:name="_Toc7053"/>
      <w:bookmarkStart w:id="65" w:name="_Toc17603"/>
      <w:r>
        <w:rPr>
          <w:rFonts w:hint="eastAsia" w:ascii="黑体" w:hAnsi="黑体" w:eastAsia="黑体"/>
          <w:color w:val="auto"/>
          <w:sz w:val="32"/>
          <w:szCs w:val="32"/>
        </w:rPr>
        <w:t>三、主要构件</w:t>
      </w:r>
      <w:bookmarkEnd w:id="60"/>
      <w:bookmarkEnd w:id="61"/>
      <w:bookmarkEnd w:id="62"/>
      <w:bookmarkEnd w:id="63"/>
      <w:bookmarkEnd w:id="64"/>
      <w:bookmarkEnd w:id="65"/>
    </w:p>
    <w:p>
      <w:pPr>
        <w:spacing w:line="360" w:lineRule="auto"/>
        <w:ind w:firstLine="622" w:firstLineChars="200"/>
        <w:rPr>
          <w:rFonts w:hint="eastAsia" w:hAnsi="宋体" w:cs="仿宋"/>
          <w:color w:val="auto"/>
          <w:kern w:val="0"/>
          <w:sz w:val="32"/>
          <w:szCs w:val="32"/>
        </w:rPr>
      </w:pPr>
      <w:bookmarkStart w:id="66" w:name="_Toc183137090"/>
      <w:bookmarkStart w:id="67" w:name="_Toc435448651"/>
      <w:bookmarkStart w:id="68" w:name="_Toc19214"/>
      <w:bookmarkStart w:id="69" w:name="_Toc178905078"/>
      <w:bookmarkStart w:id="70" w:name="_Toc8249"/>
      <w:r>
        <w:rPr>
          <w:rFonts w:hint="eastAsia" w:hAnsi="宋体"/>
          <w:color w:val="auto"/>
          <w:sz w:val="32"/>
          <w:szCs w:val="32"/>
        </w:rPr>
        <w:t>1、格栅井</w:t>
      </w:r>
      <w:bookmarkEnd w:id="66"/>
      <w:bookmarkEnd w:id="67"/>
      <w:bookmarkEnd w:id="68"/>
      <w:bookmarkEnd w:id="69"/>
      <w:bookmarkEnd w:id="70"/>
    </w:p>
    <w:p>
      <w:pPr>
        <w:adjustRightInd w:val="0"/>
        <w:snapToGrid w:val="0"/>
        <w:spacing w:line="360" w:lineRule="auto"/>
        <w:ind w:firstLine="678" w:firstLineChars="218"/>
        <w:rPr>
          <w:rFonts w:hint="eastAsia" w:hAnsi="宋体" w:cs="仿宋"/>
          <w:color w:val="auto"/>
          <w:sz w:val="32"/>
          <w:szCs w:val="32"/>
        </w:rPr>
      </w:pPr>
      <w:r>
        <w:rPr>
          <w:rFonts w:hint="eastAsia" w:hAnsi="宋体"/>
          <w:color w:val="auto"/>
          <w:sz w:val="32"/>
          <w:szCs w:val="32"/>
        </w:rPr>
        <w:t>污水经地下管网输送至污水处理站后，首先进入格栅井，以截取污水中较大的漂浮物及杂质，保护后续水工构筑物及设备正常运行；栅渣排入手推小车，定期消毒委外焚烧处置。</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数量：1座；</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建筑物尺寸：L×B×H =0.5m×0.5m×0.5m；</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结构：埋地钢砼。</w:t>
      </w:r>
    </w:p>
    <w:p>
      <w:pPr>
        <w:spacing w:line="360" w:lineRule="auto"/>
        <w:ind w:firstLine="622" w:firstLineChars="200"/>
        <w:rPr>
          <w:rFonts w:hint="eastAsia" w:hAnsi="宋体" w:cs="仿宋"/>
          <w:color w:val="auto"/>
          <w:kern w:val="0"/>
          <w:sz w:val="32"/>
          <w:szCs w:val="32"/>
        </w:rPr>
      </w:pPr>
      <w:bookmarkStart w:id="71" w:name="_Toc1753"/>
      <w:bookmarkStart w:id="72" w:name="_Toc24004"/>
      <w:bookmarkStart w:id="73" w:name="_Toc178905084"/>
      <w:bookmarkStart w:id="74" w:name="_Toc183137096"/>
      <w:bookmarkStart w:id="75" w:name="_Toc183137093"/>
      <w:bookmarkStart w:id="76" w:name="_Toc178905081"/>
      <w:r>
        <w:rPr>
          <w:rFonts w:hint="eastAsia" w:hAnsi="宋体"/>
          <w:color w:val="auto"/>
          <w:sz w:val="32"/>
          <w:szCs w:val="32"/>
        </w:rPr>
        <w:t>2</w:t>
      </w:r>
      <w:bookmarkEnd w:id="71"/>
      <w:bookmarkEnd w:id="72"/>
      <w:r>
        <w:rPr>
          <w:rFonts w:hint="eastAsia" w:hAnsi="宋体"/>
          <w:color w:val="auto"/>
          <w:sz w:val="32"/>
          <w:szCs w:val="32"/>
        </w:rPr>
        <w:t>、一体化污水设备</w:t>
      </w:r>
    </w:p>
    <w:p>
      <w:pPr>
        <w:adjustRightInd w:val="0"/>
        <w:snapToGrid w:val="0"/>
        <w:spacing w:line="360" w:lineRule="auto"/>
        <w:ind w:left="1" w:firstLine="678" w:firstLineChars="218"/>
        <w:rPr>
          <w:rFonts w:hAnsi="宋体" w:cs="仿宋"/>
          <w:color w:val="auto"/>
          <w:sz w:val="32"/>
          <w:szCs w:val="32"/>
        </w:rPr>
      </w:pPr>
      <w:r>
        <w:rPr>
          <w:rFonts w:hint="eastAsia" w:hAnsi="宋体" w:cs="仿宋"/>
          <w:color w:val="auto"/>
          <w:sz w:val="32"/>
          <w:szCs w:val="32"/>
        </w:rPr>
        <w:t>一体化设备内分调节池、初沉池、A/O池、二沉池、终沉池、消毒池</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数量：1座；</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建筑物尺寸：L×B×H =6m×1.2m×2.0m；</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结构：碳钢防腐</w:t>
      </w:r>
    </w:p>
    <w:bookmarkEnd w:id="73"/>
    <w:bookmarkEnd w:id="74"/>
    <w:p>
      <w:pPr>
        <w:adjustRightInd w:val="0"/>
        <w:snapToGrid w:val="0"/>
        <w:spacing w:line="360" w:lineRule="auto"/>
        <w:ind w:firstLine="678" w:firstLineChars="218"/>
        <w:rPr>
          <w:rFonts w:hint="eastAsia" w:hAnsi="宋体" w:cs="仿宋"/>
          <w:color w:val="auto"/>
          <w:sz w:val="32"/>
          <w:szCs w:val="32"/>
        </w:rPr>
      </w:pPr>
      <w:r>
        <w:rPr>
          <w:rFonts w:hint="eastAsia" w:hAnsi="宋体" w:cs="仿宋"/>
          <w:color w:val="auto"/>
          <w:sz w:val="32"/>
          <w:szCs w:val="32"/>
        </w:rPr>
        <w:t>功能：调节池调节水量；初沉池沉淀固液分离；A/O池通过微生物作用消耗污水中的有机物，从而去除水中的有机物，达到水体净化的目的；二沉池泥水分离；终沉池加药沉淀固液分离；消毒池杀菌消毒排放。</w:t>
      </w:r>
    </w:p>
    <w:bookmarkEnd w:id="75"/>
    <w:bookmarkEnd w:id="76"/>
    <w:p>
      <w:pPr>
        <w:adjustRightInd w:val="0"/>
        <w:snapToGrid w:val="0"/>
        <w:spacing w:line="360" w:lineRule="auto"/>
        <w:ind w:firstLine="678" w:firstLineChars="218"/>
        <w:rPr>
          <w:rFonts w:hAnsi="宋体" w:cs="仿宋"/>
          <w:color w:val="auto"/>
          <w:sz w:val="32"/>
          <w:szCs w:val="32"/>
        </w:rPr>
      </w:pPr>
      <w:r>
        <w:rPr>
          <w:rFonts w:hint="eastAsia" w:hAnsi="宋体" w:cs="仿宋"/>
          <w:color w:val="auto"/>
          <w:sz w:val="32"/>
          <w:szCs w:val="32"/>
        </w:rPr>
        <w:t>设备配置：水泵、风机、填料、填料支架、曝气装置、加药装置、消毒加药装置、消毒混合装置、外排泵、电控装置、安装辅料等等。</w:t>
      </w:r>
    </w:p>
    <w:p>
      <w:pPr>
        <w:rPr>
          <w:rFonts w:hAnsi="宋体"/>
          <w:color w:val="auto"/>
          <w:sz w:val="32"/>
          <w:szCs w:val="32"/>
        </w:rPr>
      </w:pPr>
      <w:r>
        <w:rPr>
          <w:rFonts w:hAnsi="宋体"/>
          <w:color w:val="auto"/>
          <w:sz w:val="32"/>
          <w:szCs w:val="32"/>
        </w:rPr>
        <w:t>四</w:t>
      </w:r>
      <w:r>
        <w:rPr>
          <w:rFonts w:hint="eastAsia" w:hAnsi="宋体"/>
          <w:color w:val="auto"/>
          <w:sz w:val="32"/>
          <w:szCs w:val="32"/>
        </w:rPr>
        <w:t>、售后服务</w:t>
      </w:r>
    </w:p>
    <w:p>
      <w:pPr>
        <w:adjustRightInd w:val="0"/>
        <w:snapToGrid w:val="0"/>
        <w:spacing w:line="360" w:lineRule="auto"/>
        <w:ind w:firstLine="678" w:firstLineChars="218"/>
        <w:rPr>
          <w:color w:val="auto"/>
        </w:rPr>
      </w:pPr>
      <w:r>
        <w:rPr>
          <w:rFonts w:hint="eastAsia"/>
          <w:color w:val="auto"/>
          <w:sz w:val="32"/>
          <w:szCs w:val="32"/>
        </w:rPr>
        <w:t>保修年限：海外安装、海外维保≥</w:t>
      </w:r>
      <w:r>
        <w:rPr>
          <w:color w:val="auto"/>
          <w:sz w:val="32"/>
          <w:szCs w:val="32"/>
        </w:rPr>
        <w:t>3</w:t>
      </w:r>
      <w:r>
        <w:rPr>
          <w:rFonts w:hint="eastAsia"/>
          <w:color w:val="auto"/>
          <w:sz w:val="32"/>
          <w:szCs w:val="32"/>
        </w:rPr>
        <w:t>年；出现故障响应时间：响应时间≤ 24小时；维修时间≤45天；维修支持配件供应时间≥5年；耗材及零配件提供耗材及主要零配件目录（含报价）；维修资料提供详细操作手册、维修保养手册、安装手册等；维修工具：提供维修专用工具1套；预</w:t>
      </w:r>
      <w:r>
        <w:rPr>
          <w:rFonts w:hint="eastAsia"/>
          <w:color w:val="auto"/>
          <w:sz w:val="28"/>
          <w:szCs w:val="28"/>
        </w:rPr>
        <w:t>防性维修；/定期维护保养：保修期内提供每年定期维护保养服务1</w:t>
      </w:r>
      <w:r>
        <w:rPr>
          <w:color w:val="auto"/>
          <w:sz w:val="28"/>
          <w:szCs w:val="28"/>
        </w:rPr>
        <w:t>-2次</w:t>
      </w:r>
      <w:r>
        <w:rPr>
          <w:rFonts w:hint="eastAsia"/>
          <w:color w:val="auto"/>
          <w:sz w:val="28"/>
          <w:szCs w:val="28"/>
        </w:rPr>
        <w:t>。</w:t>
      </w:r>
    </w:p>
    <w:sectPr>
      <w:headerReference r:id="rId13" w:type="default"/>
      <w:footerReference r:id="rId14"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E Inspira">
    <w:altName w:val="Calibri"/>
    <w:panose1 w:val="020F0603030400020203"/>
    <w:charset w:val="00"/>
    <w:family w:val="swiss"/>
    <w:pitch w:val="default"/>
    <w:sig w:usb0="00000000" w:usb1="00000000" w:usb2="00000000" w:usb3="00000000" w:csb0="0000009F"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3</w:t>
    </w:r>
    <w:r>
      <w:rPr>
        <w:rStyle w:val="23"/>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4</w:t>
    </w:r>
    <w:r>
      <w:rPr>
        <w:rStyle w:val="23"/>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rFonts w:ascii="宋体"/>
        <w:sz w:val="24"/>
        <w:szCs w:val="24"/>
      </w:rPr>
    </w:pPr>
    <w:r>
      <w:rPr>
        <w:rFonts w:hint="eastAsia" w:ascii="宋体"/>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30</w:t>
    </w:r>
    <w:r>
      <w:rPr>
        <w:rStyle w:val="23"/>
        <w:sz w:val="24"/>
        <w:szCs w:val="24"/>
      </w:rPr>
      <w:fldChar w:fldCharType="end"/>
    </w:r>
    <w:r>
      <w:rPr>
        <w:rFonts w:hint="eastAsia" w:ascii="宋体"/>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rFonts w:ascii="宋体"/>
        <w:sz w:val="24"/>
        <w:szCs w:val="24"/>
      </w:rPr>
    </w:pPr>
    <w:r>
      <w:rPr>
        <w:rFonts w:hint="eastAsia" w:ascii="宋体"/>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48</w:t>
    </w:r>
    <w:r>
      <w:rPr>
        <w:rStyle w:val="23"/>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sz w:val="21"/>
        <w:szCs w:val="21"/>
      </w:rPr>
    </w:pPr>
  </w:p>
  <w:p>
    <w:pPr>
      <w:pStyle w:val="15"/>
      <w:jc w:val="both"/>
      <w:rPr>
        <w:rFonts w:ascii="楷体_GB2312" w:eastAsia="楷体_GB2312"/>
        <w:sz w:val="21"/>
        <w:szCs w:val="21"/>
      </w:rPr>
    </w:pPr>
  </w:p>
  <w:p>
    <w:pPr>
      <w:pStyle w:val="15"/>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sz w:val="21"/>
        <w:szCs w:val="21"/>
      </w:rPr>
    </w:pPr>
  </w:p>
  <w:p>
    <w:pPr>
      <w:pStyle w:val="15"/>
      <w:jc w:val="both"/>
      <w:rPr>
        <w:rFonts w:ascii="楷体_GB2312" w:eastAsia="楷体_GB2312"/>
        <w:sz w:val="21"/>
        <w:szCs w:val="21"/>
      </w:rPr>
    </w:pPr>
  </w:p>
  <w:p>
    <w:pPr>
      <w:pStyle w:val="15"/>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sz w:val="21"/>
        <w:szCs w:val="21"/>
      </w:rPr>
    </w:pPr>
  </w:p>
  <w:p>
    <w:pPr>
      <w:pStyle w:val="15"/>
      <w:jc w:val="both"/>
      <w:rPr>
        <w:rFonts w:ascii="楷体_GB2312" w:eastAsia="楷体_GB2312"/>
        <w:sz w:val="21"/>
        <w:szCs w:val="21"/>
      </w:rPr>
    </w:pPr>
  </w:p>
  <w:p>
    <w:pPr>
      <w:pStyle w:val="15"/>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sz w:val="21"/>
        <w:szCs w:val="21"/>
      </w:rPr>
    </w:pPr>
  </w:p>
  <w:p>
    <w:pPr>
      <w:pStyle w:val="15"/>
      <w:jc w:val="both"/>
      <w:rPr>
        <w:rFonts w:ascii="楷体_GB2312" w:eastAsia="楷体_GB2312"/>
        <w:sz w:val="21"/>
        <w:szCs w:val="21"/>
      </w:rPr>
    </w:pPr>
  </w:p>
  <w:p>
    <w:pPr>
      <w:pStyle w:val="15"/>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bCs/>
        <w:sz w:val="21"/>
        <w:szCs w:val="21"/>
      </w:rPr>
    </w:pPr>
  </w:p>
  <w:p>
    <w:pPr>
      <w:pStyle w:val="15"/>
      <w:jc w:val="both"/>
      <w:rPr>
        <w:rFonts w:ascii="楷体_GB2312" w:eastAsia="楷体_GB2312"/>
        <w:bCs/>
        <w:sz w:val="21"/>
        <w:szCs w:val="21"/>
      </w:rPr>
    </w:pPr>
  </w:p>
  <w:p>
    <w:pPr>
      <w:pStyle w:val="15"/>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bCs/>
        <w:sz w:val="21"/>
        <w:szCs w:val="21"/>
      </w:rPr>
    </w:pPr>
  </w:p>
  <w:p>
    <w:pPr>
      <w:pStyle w:val="15"/>
      <w:jc w:val="both"/>
      <w:rPr>
        <w:rFonts w:ascii="楷体_GB2312" w:eastAsia="楷体_GB2312"/>
        <w:bCs/>
        <w:sz w:val="21"/>
        <w:szCs w:val="21"/>
      </w:rPr>
    </w:pPr>
  </w:p>
  <w:p>
    <w:pPr>
      <w:pStyle w:val="15"/>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_GB2312" w:eastAsia="楷体_GB2312"/>
        <w:bCs/>
        <w:sz w:val="21"/>
        <w:szCs w:val="21"/>
      </w:rPr>
    </w:pPr>
  </w:p>
  <w:p>
    <w:pPr>
      <w:pStyle w:val="15"/>
      <w:jc w:val="both"/>
      <w:rPr>
        <w:rFonts w:ascii="楷体_GB2312" w:eastAsia="楷体_GB2312"/>
        <w:bCs/>
        <w:sz w:val="21"/>
        <w:szCs w:val="21"/>
      </w:rPr>
    </w:pPr>
  </w:p>
  <w:p>
    <w:pPr>
      <w:pStyle w:val="15"/>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573FA"/>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3D14B39"/>
    <w:rsid w:val="041F7716"/>
    <w:rsid w:val="0FAF1D74"/>
    <w:rsid w:val="125D045A"/>
    <w:rsid w:val="14D56054"/>
    <w:rsid w:val="1A193B70"/>
    <w:rsid w:val="1F1C3038"/>
    <w:rsid w:val="242A7CF0"/>
    <w:rsid w:val="256E7738"/>
    <w:rsid w:val="271C2A6F"/>
    <w:rsid w:val="292C2DA7"/>
    <w:rsid w:val="2F026998"/>
    <w:rsid w:val="38FB4753"/>
    <w:rsid w:val="41262825"/>
    <w:rsid w:val="41B048C1"/>
    <w:rsid w:val="47D20F61"/>
    <w:rsid w:val="48ED6FEB"/>
    <w:rsid w:val="5D212281"/>
    <w:rsid w:val="5EFE50C8"/>
    <w:rsid w:val="5F780B67"/>
    <w:rsid w:val="603F21C8"/>
    <w:rsid w:val="605F7868"/>
    <w:rsid w:val="66A243C0"/>
    <w:rsid w:val="67FF7ECB"/>
    <w:rsid w:val="6E623074"/>
    <w:rsid w:val="6F802757"/>
    <w:rsid w:val="74BB1E38"/>
    <w:rsid w:val="74DE391A"/>
    <w:rsid w:val="7EF2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5"/>
    <w:link w:val="26"/>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6">
    <w:name w:val="heading 3"/>
    <w:basedOn w:val="1"/>
    <w:next w:val="5"/>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ind w:firstLine="420"/>
      <w:textAlignment w:val="baseline"/>
    </w:pPr>
  </w:style>
  <w:style w:type="paragraph" w:styleId="5">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7">
    <w:name w:val="Document Map"/>
    <w:basedOn w:val="1"/>
    <w:link w:val="37"/>
    <w:semiHidden/>
    <w:qFormat/>
    <w:uiPriority w:val="0"/>
    <w:pPr>
      <w:shd w:val="clear" w:color="auto" w:fill="000080"/>
    </w:pPr>
    <w:rPr>
      <w:rFonts w:ascii="Times New Roman" w:hAnsi="Times New Roman" w:eastAsia="宋体" w:cs="Times New Roman"/>
      <w:kern w:val="0"/>
      <w:sz w:val="24"/>
      <w:szCs w:val="24"/>
    </w:rPr>
  </w:style>
  <w:style w:type="paragraph" w:styleId="8">
    <w:name w:val="Body Text 3"/>
    <w:basedOn w:val="1"/>
    <w:qFormat/>
    <w:uiPriority w:val="0"/>
    <w:pPr>
      <w:jc w:val="center"/>
    </w:pPr>
    <w:rPr>
      <w:rFonts w:eastAsia="仿宋_GB2312"/>
      <w:sz w:val="18"/>
    </w:rPr>
  </w:style>
  <w:style w:type="paragraph" w:styleId="9">
    <w:name w:val="Body Text"/>
    <w:basedOn w:val="1"/>
    <w:link w:val="32"/>
    <w:qFormat/>
    <w:uiPriority w:val="0"/>
    <w:rPr>
      <w:rFonts w:ascii="Times New Roman" w:hAnsi="Times New Roman" w:eastAsia="宋体" w:cs="Times New Roman"/>
      <w:kern w:val="0"/>
      <w:szCs w:val="24"/>
    </w:rPr>
  </w:style>
  <w:style w:type="paragraph" w:styleId="10">
    <w:name w:val="Body Text Indent"/>
    <w:basedOn w:val="1"/>
    <w:link w:val="31"/>
    <w:qFormat/>
    <w:uiPriority w:val="0"/>
    <w:pPr>
      <w:ind w:firstLine="555"/>
    </w:pPr>
    <w:rPr>
      <w:rFonts w:ascii="Times New Roman" w:hAnsi="Times New Roman" w:eastAsia="宋体" w:cs="Times New Roman"/>
      <w:kern w:val="0"/>
      <w:sz w:val="24"/>
      <w:szCs w:val="24"/>
    </w:rPr>
  </w:style>
  <w:style w:type="paragraph" w:styleId="11">
    <w:name w:val="Plain Text"/>
    <w:basedOn w:val="1"/>
    <w:link w:val="38"/>
    <w:qFormat/>
    <w:uiPriority w:val="0"/>
    <w:rPr>
      <w:rFonts w:ascii="宋体" w:hAnsi="Courier New" w:eastAsia="宋体" w:cs="Courier New"/>
      <w:sz w:val="24"/>
      <w:szCs w:val="21"/>
    </w:rPr>
  </w:style>
  <w:style w:type="paragraph" w:styleId="12">
    <w:name w:val="Body Text Indent 2"/>
    <w:basedOn w:val="1"/>
    <w:link w:val="30"/>
    <w:qFormat/>
    <w:uiPriority w:val="0"/>
    <w:pPr>
      <w:spacing w:line="540" w:lineRule="exact"/>
      <w:ind w:firstLine="630"/>
    </w:pPr>
    <w:rPr>
      <w:rFonts w:ascii="Times New Roman" w:hAnsi="Times New Roman" w:eastAsia="宋体" w:cs="Times New Roman"/>
      <w:kern w:val="0"/>
      <w:sz w:val="24"/>
      <w:szCs w:val="24"/>
    </w:rPr>
  </w:style>
  <w:style w:type="paragraph" w:styleId="13">
    <w:name w:val="Balloon Text"/>
    <w:basedOn w:val="1"/>
    <w:link w:val="39"/>
    <w:semiHidden/>
    <w:qFormat/>
    <w:uiPriority w:val="0"/>
    <w:rPr>
      <w:rFonts w:ascii="Times New Roman" w:hAnsi="Times New Roman" w:eastAsia="宋体" w:cs="Times New Roman"/>
      <w:kern w:val="0"/>
      <w:sz w:val="18"/>
      <w:szCs w:val="18"/>
    </w:rPr>
  </w:style>
  <w:style w:type="paragraph" w:styleId="14">
    <w:name w:val="footer"/>
    <w:basedOn w:val="1"/>
    <w:link w:val="28"/>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6">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7">
    <w:name w:val="Body Text 2"/>
    <w:basedOn w:val="1"/>
    <w:link w:val="33"/>
    <w:qFormat/>
    <w:uiPriority w:val="0"/>
    <w:pPr>
      <w:jc w:val="center"/>
    </w:pPr>
    <w:rPr>
      <w:rFonts w:ascii="Times New Roman" w:hAnsi="Times New Roman" w:eastAsia="宋体" w:cs="Times New Roman"/>
      <w:kern w:val="0"/>
      <w:szCs w:val="24"/>
    </w:rPr>
  </w:style>
  <w:style w:type="paragraph" w:styleId="18">
    <w:name w:val="Normal (Web)"/>
    <w:basedOn w:val="1"/>
    <w:unhideWhenUsed/>
    <w:qFormat/>
    <w:uiPriority w:val="99"/>
    <w:pPr>
      <w:spacing w:line="360" w:lineRule="auto"/>
    </w:pPr>
    <w:rPr>
      <w:rFonts w:ascii="Calibri" w:hAnsi="Calibri" w:eastAsia="宋体" w:cs="Times New Roman"/>
      <w:sz w:val="24"/>
      <w:szCs w:val="24"/>
    </w:rPr>
  </w:style>
  <w:style w:type="paragraph" w:styleId="19">
    <w:name w:val="index 1"/>
    <w:basedOn w:val="1"/>
    <w:next w:val="1"/>
    <w:semiHidden/>
    <w:qFormat/>
    <w:uiPriority w:val="0"/>
    <w:rPr>
      <w:rFonts w:ascii="Times New Roman" w:hAnsi="Times New Roman" w:eastAsia="宋体" w:cs="Times New Roman"/>
      <w:kern w:val="0"/>
      <w:sz w:val="24"/>
      <w:szCs w:val="24"/>
    </w:rPr>
  </w:style>
  <w:style w:type="table" w:styleId="21">
    <w:name w:val="Table Grid"/>
    <w:basedOn w:val="20"/>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rPr>
      <w:rFonts w:cs="Times New Roman"/>
    </w:rPr>
  </w:style>
  <w:style w:type="character" w:styleId="24">
    <w:name w:val="Hyperlink"/>
    <w:basedOn w:val="22"/>
    <w:qFormat/>
    <w:uiPriority w:val="99"/>
    <w:rPr>
      <w:rFonts w:cs="Times New Roman"/>
      <w:color w:val="0000FF"/>
      <w:u w:val="single"/>
    </w:rPr>
  </w:style>
  <w:style w:type="character" w:customStyle="1" w:styleId="25">
    <w:name w:val="标题 1 Char"/>
    <w:basedOn w:val="22"/>
    <w:link w:val="3"/>
    <w:qFormat/>
    <w:uiPriority w:val="0"/>
    <w:rPr>
      <w:rFonts w:ascii="Times New Roman" w:hAnsi="Times New Roman" w:eastAsia="宋体" w:cs="Times New Roman"/>
      <w:b/>
      <w:bCs/>
      <w:kern w:val="44"/>
      <w:sz w:val="44"/>
      <w:szCs w:val="44"/>
    </w:rPr>
  </w:style>
  <w:style w:type="character" w:customStyle="1" w:styleId="26">
    <w:name w:val="标题 2 Char"/>
    <w:basedOn w:val="22"/>
    <w:link w:val="4"/>
    <w:qFormat/>
    <w:uiPriority w:val="0"/>
    <w:rPr>
      <w:rFonts w:ascii="Arial" w:hAnsi="Arial" w:eastAsia="黑体" w:cs="Times New Roman"/>
      <w:b/>
      <w:kern w:val="0"/>
      <w:sz w:val="32"/>
      <w:szCs w:val="20"/>
    </w:rPr>
  </w:style>
  <w:style w:type="character" w:customStyle="1" w:styleId="27">
    <w:name w:val="页眉 Char"/>
    <w:basedOn w:val="22"/>
    <w:link w:val="15"/>
    <w:qFormat/>
    <w:uiPriority w:val="0"/>
    <w:rPr>
      <w:rFonts w:ascii="Times New Roman" w:hAnsi="Times New Roman" w:eastAsia="宋体" w:cs="Times New Roman"/>
      <w:kern w:val="0"/>
      <w:sz w:val="18"/>
      <w:szCs w:val="18"/>
    </w:rPr>
  </w:style>
  <w:style w:type="character" w:customStyle="1" w:styleId="28">
    <w:name w:val="页脚 Char"/>
    <w:basedOn w:val="22"/>
    <w:link w:val="14"/>
    <w:qFormat/>
    <w:uiPriority w:val="0"/>
    <w:rPr>
      <w:rFonts w:ascii="Times New Roman" w:hAnsi="Times New Roman" w:eastAsia="宋体" w:cs="Times New Roman"/>
      <w:kern w:val="0"/>
      <w:sz w:val="18"/>
      <w:szCs w:val="18"/>
    </w:rPr>
  </w:style>
  <w:style w:type="paragraph" w:customStyle="1" w:styleId="29">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30">
    <w:name w:val="正文文本缩进 2 Char"/>
    <w:basedOn w:val="22"/>
    <w:link w:val="12"/>
    <w:qFormat/>
    <w:uiPriority w:val="0"/>
    <w:rPr>
      <w:rFonts w:ascii="Times New Roman" w:hAnsi="Times New Roman" w:eastAsia="宋体" w:cs="Times New Roman"/>
      <w:kern w:val="0"/>
      <w:sz w:val="24"/>
      <w:szCs w:val="24"/>
    </w:rPr>
  </w:style>
  <w:style w:type="character" w:customStyle="1" w:styleId="31">
    <w:name w:val="正文文本缩进 Char"/>
    <w:basedOn w:val="22"/>
    <w:link w:val="10"/>
    <w:qFormat/>
    <w:uiPriority w:val="0"/>
    <w:rPr>
      <w:rFonts w:ascii="Times New Roman" w:hAnsi="Times New Roman" w:eastAsia="宋体" w:cs="Times New Roman"/>
      <w:kern w:val="0"/>
      <w:sz w:val="24"/>
      <w:szCs w:val="24"/>
    </w:rPr>
  </w:style>
  <w:style w:type="character" w:customStyle="1" w:styleId="32">
    <w:name w:val="正文文本 Char"/>
    <w:basedOn w:val="22"/>
    <w:link w:val="9"/>
    <w:qFormat/>
    <w:uiPriority w:val="0"/>
    <w:rPr>
      <w:rFonts w:ascii="Times New Roman" w:hAnsi="Times New Roman" w:eastAsia="宋体" w:cs="Times New Roman"/>
      <w:kern w:val="0"/>
      <w:szCs w:val="24"/>
    </w:rPr>
  </w:style>
  <w:style w:type="character" w:customStyle="1" w:styleId="33">
    <w:name w:val="正文文本 2 Char"/>
    <w:basedOn w:val="22"/>
    <w:link w:val="17"/>
    <w:qFormat/>
    <w:uiPriority w:val="0"/>
    <w:rPr>
      <w:rFonts w:ascii="Times New Roman" w:hAnsi="Times New Roman" w:eastAsia="宋体" w:cs="Times New Roman"/>
      <w:kern w:val="0"/>
      <w:szCs w:val="24"/>
    </w:rPr>
  </w:style>
  <w:style w:type="paragraph" w:customStyle="1" w:styleId="34">
    <w:name w:val="样式1"/>
    <w:basedOn w:val="3"/>
    <w:qFormat/>
    <w:uiPriority w:val="0"/>
    <w:pPr>
      <w:spacing w:line="640" w:lineRule="exact"/>
      <w:jc w:val="center"/>
    </w:pPr>
    <w:rPr>
      <w:rFonts w:ascii="方正小标宋简体" w:hAnsi="华文中宋" w:eastAsia="方正小标宋简体"/>
      <w:b w:val="0"/>
    </w:rPr>
  </w:style>
  <w:style w:type="paragraph" w:customStyle="1" w:styleId="35">
    <w:name w:val="样式2"/>
    <w:basedOn w:val="3"/>
    <w:qFormat/>
    <w:uiPriority w:val="0"/>
    <w:pPr>
      <w:spacing w:line="640" w:lineRule="exact"/>
      <w:jc w:val="center"/>
    </w:pPr>
    <w:rPr>
      <w:rFonts w:ascii="方正小标宋简体" w:hAnsi="华文中宋" w:eastAsia="方正小标宋简体"/>
      <w:b w:val="0"/>
    </w:rPr>
  </w:style>
  <w:style w:type="paragraph" w:customStyle="1" w:styleId="36">
    <w:name w:val="样式3"/>
    <w:basedOn w:val="3"/>
    <w:qFormat/>
    <w:uiPriority w:val="0"/>
    <w:pPr>
      <w:spacing w:line="640" w:lineRule="exact"/>
      <w:jc w:val="center"/>
    </w:pPr>
    <w:rPr>
      <w:rFonts w:ascii="方正小标宋简体" w:hAnsi="华文中宋" w:eastAsia="方正小标宋简体"/>
      <w:b w:val="0"/>
    </w:rPr>
  </w:style>
  <w:style w:type="character" w:customStyle="1" w:styleId="37">
    <w:name w:val="文档结构图 Char"/>
    <w:basedOn w:val="22"/>
    <w:link w:val="7"/>
    <w:semiHidden/>
    <w:qFormat/>
    <w:uiPriority w:val="0"/>
    <w:rPr>
      <w:rFonts w:ascii="Times New Roman" w:hAnsi="Times New Roman" w:eastAsia="宋体" w:cs="Times New Roman"/>
      <w:kern w:val="0"/>
      <w:sz w:val="24"/>
      <w:szCs w:val="24"/>
      <w:shd w:val="clear" w:color="auto" w:fill="000080"/>
    </w:rPr>
  </w:style>
  <w:style w:type="character" w:customStyle="1" w:styleId="38">
    <w:name w:val="纯文本 Char"/>
    <w:basedOn w:val="22"/>
    <w:link w:val="11"/>
    <w:qFormat/>
    <w:uiPriority w:val="0"/>
    <w:rPr>
      <w:rFonts w:ascii="宋体" w:hAnsi="Courier New" w:eastAsia="宋体" w:cs="Courier New"/>
      <w:sz w:val="24"/>
      <w:szCs w:val="21"/>
    </w:rPr>
  </w:style>
  <w:style w:type="character" w:customStyle="1" w:styleId="39">
    <w:name w:val="批注框文本 Char"/>
    <w:basedOn w:val="22"/>
    <w:link w:val="13"/>
    <w:semiHidden/>
    <w:qFormat/>
    <w:uiPriority w:val="0"/>
    <w:rPr>
      <w:rFonts w:ascii="Times New Roman" w:hAnsi="Times New Roman" w:eastAsia="宋体" w:cs="Times New Roman"/>
      <w:kern w:val="0"/>
      <w:sz w:val="18"/>
      <w:szCs w:val="18"/>
    </w:rPr>
  </w:style>
  <w:style w:type="paragraph" w:customStyle="1" w:styleId="40">
    <w:name w:val="列出段落1"/>
    <w:basedOn w:val="1"/>
    <w:link w:val="44"/>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41">
    <w:name w:val="1111111199999"/>
    <w:basedOn w:val="1"/>
    <w:link w:val="42"/>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2">
    <w:name w:val="1111111199999 Char"/>
    <w:link w:val="41"/>
    <w:qFormat/>
    <w:locked/>
    <w:uiPriority w:val="0"/>
    <w:rPr>
      <w:rFonts w:ascii="Times New Roman" w:hAnsi="Times New Roman" w:eastAsia="宋体" w:cs="Times New Roman"/>
      <w:kern w:val="0"/>
      <w:szCs w:val="20"/>
    </w:rPr>
  </w:style>
  <w:style w:type="character" w:customStyle="1" w:styleId="43">
    <w:name w:val="apple-style-span"/>
    <w:qFormat/>
    <w:uiPriority w:val="0"/>
  </w:style>
  <w:style w:type="character" w:customStyle="1" w:styleId="44">
    <w:name w:val="List Paragraph Char"/>
    <w:link w:val="40"/>
    <w:qFormat/>
    <w:locked/>
    <w:uiPriority w:val="0"/>
    <w:rPr>
      <w:rFonts w:ascii="Calibri" w:hAnsi="Calibri" w:eastAsia="宋体" w:cs="Times New Roman"/>
      <w:kern w:val="0"/>
      <w:sz w:val="22"/>
      <w:szCs w:val="20"/>
      <w:lang w:eastAsia="en-US"/>
    </w:rPr>
  </w:style>
  <w:style w:type="paragraph" w:customStyle="1" w:styleId="45">
    <w:name w:val="Char Char Char Char"/>
    <w:basedOn w:val="1"/>
    <w:qFormat/>
    <w:uiPriority w:val="0"/>
    <w:rPr>
      <w:rFonts w:ascii="Times New Roman" w:hAnsi="Times New Roman" w:eastAsia="宋体" w:cs="Times New Roman"/>
      <w:sz w:val="24"/>
      <w:szCs w:val="36"/>
    </w:rPr>
  </w:style>
  <w:style w:type="character" w:customStyle="1" w:styleId="46">
    <w:name w:val="Char Char4"/>
    <w:qFormat/>
    <w:locked/>
    <w:uiPriority w:val="0"/>
    <w:rPr>
      <w:rFonts w:ascii="宋体" w:hAnsi="Courier New" w:eastAsia="宋体"/>
      <w:kern w:val="2"/>
      <w:sz w:val="21"/>
      <w:lang w:bidi="ar-SA"/>
    </w:rPr>
  </w:style>
  <w:style w:type="character" w:customStyle="1" w:styleId="47">
    <w:name w:val="样式 (中文) 仿宋_GB2312 三号"/>
    <w:basedOn w:val="22"/>
    <w:qFormat/>
    <w:uiPriority w:val="0"/>
    <w:rPr>
      <w:rFonts w:hint="eastAsia" w:ascii="仿宋_GB2312" w:eastAsia="仿宋_GB2312"/>
      <w:sz w:val="32"/>
    </w:rPr>
  </w:style>
  <w:style w:type="character" w:customStyle="1" w:styleId="48">
    <w:name w:val="Char Char3"/>
    <w:basedOn w:val="22"/>
    <w:qFormat/>
    <w:locked/>
    <w:uiPriority w:val="0"/>
    <w:rPr>
      <w:rFonts w:ascii="宋体" w:hAnsi="宋体" w:eastAsia="宋体"/>
      <w:sz w:val="18"/>
      <w:szCs w:val="18"/>
      <w:lang w:val="en-US" w:eastAsia="zh-CN" w:bidi="ar-SA"/>
    </w:rPr>
  </w:style>
  <w:style w:type="paragraph" w:styleId="49">
    <w:name w:val="List Paragraph"/>
    <w:basedOn w:val="1"/>
    <w:qFormat/>
    <w:uiPriority w:val="34"/>
    <w:pPr>
      <w:ind w:firstLine="420" w:firstLineChars="200"/>
    </w:pPr>
    <w:rPr>
      <w:rFonts w:ascii="等线" w:hAnsi="等线" w:eastAsia="等线" w:cs="Times New Roman"/>
    </w:rPr>
  </w:style>
  <w:style w:type="character" w:customStyle="1" w:styleId="50">
    <w:name w:val="font21"/>
    <w:basedOn w:val="22"/>
    <w:qFormat/>
    <w:uiPriority w:val="0"/>
    <w:rPr>
      <w:rFonts w:hint="eastAsia" w:ascii="宋体" w:hAnsi="宋体" w:eastAsia="宋体" w:cs="宋体"/>
      <w:color w:val="000000"/>
      <w:sz w:val="20"/>
      <w:szCs w:val="20"/>
      <w:u w:val="none"/>
    </w:rPr>
  </w:style>
  <w:style w:type="character" w:customStyle="1" w:styleId="51">
    <w:name w:val="font11"/>
    <w:basedOn w:val="22"/>
    <w:qFormat/>
    <w:uiPriority w:val="0"/>
    <w:rPr>
      <w:rFonts w:hint="default" w:ascii="Times New Roman" w:hAnsi="Times New Roman" w:cs="Times New Roman"/>
      <w:color w:val="000000"/>
      <w:sz w:val="20"/>
      <w:szCs w:val="20"/>
      <w:u w:val="none"/>
    </w:rPr>
  </w:style>
  <w:style w:type="paragraph" w:customStyle="1" w:styleId="5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30</TotalTime>
  <ScaleCrop>false</ScaleCrop>
  <LinksUpToDate>false</LinksUpToDate>
  <CharactersWithSpaces>30058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2021-03-17T01:01:00Z</cp:lastPrinted>
  <dcterms:modified xsi:type="dcterms:W3CDTF">2021-04-09T07:58:33Z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B0D1A15933C14ED3B5C7FC8E2D9A0A3D</vt:lpwstr>
  </property>
</Properties>
</file>