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040A76">
        <w:rPr>
          <w:rFonts w:ascii="宋体" w:eastAsia="宋体" w:hAnsi="宋体" w:cs="Times New Roman" w:hint="eastAsia"/>
          <w:kern w:val="0"/>
          <w:sz w:val="36"/>
          <w:szCs w:val="36"/>
          <w:u w:val="single"/>
        </w:rPr>
        <w:t>口腔专科病历及信息管理系统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B11E6">
        <w:rPr>
          <w:rFonts w:ascii="宋体" w:eastAsia="宋体" w:hAnsi="宋体" w:cs="Times New Roman" w:hint="eastAsia"/>
          <w:kern w:val="0"/>
          <w:sz w:val="36"/>
          <w:szCs w:val="36"/>
          <w:u w:val="single"/>
        </w:rPr>
        <w:t>2020-JL13-03-W30016</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0654D">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236BE6">
          <w:rPr>
            <w:noProof/>
            <w:webHidden/>
          </w:rPr>
          <w:t>1</w:t>
        </w:r>
        <w:r>
          <w:rPr>
            <w:noProof/>
            <w:webHidden/>
          </w:rPr>
          <w:fldChar w:fldCharType="end"/>
        </w:r>
      </w:hyperlink>
    </w:p>
    <w:p w:rsidR="006C1884" w:rsidRDefault="00402820"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236BE6">
          <w:rPr>
            <w:noProof/>
            <w:webHidden/>
          </w:rPr>
          <w:t>4</w:t>
        </w:r>
        <w:r w:rsidR="00396F45">
          <w:rPr>
            <w:noProof/>
            <w:webHidden/>
          </w:rPr>
          <w:fldChar w:fldCharType="end"/>
        </w:r>
      </w:hyperlink>
    </w:p>
    <w:p w:rsidR="006C1884" w:rsidRDefault="00402820"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236BE6">
          <w:rPr>
            <w:noProof/>
            <w:webHidden/>
          </w:rPr>
          <w:t>6</w:t>
        </w:r>
        <w:r w:rsidR="00396F45">
          <w:rPr>
            <w:noProof/>
            <w:webHidden/>
          </w:rPr>
          <w:fldChar w:fldCharType="end"/>
        </w:r>
      </w:hyperlink>
    </w:p>
    <w:p w:rsidR="006C1884" w:rsidRDefault="00402820"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236BE6">
          <w:rPr>
            <w:noProof/>
            <w:webHidden/>
          </w:rPr>
          <w:t>29</w:t>
        </w:r>
        <w:r w:rsidR="00396F45">
          <w:rPr>
            <w:noProof/>
            <w:webHidden/>
          </w:rPr>
          <w:fldChar w:fldCharType="end"/>
        </w:r>
      </w:hyperlink>
    </w:p>
    <w:p w:rsidR="006C1884" w:rsidRDefault="00402820"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236BE6">
          <w:rPr>
            <w:noProof/>
            <w:webHidden/>
          </w:rPr>
          <w:t>34</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236BE6" w:rsidRPr="00236BE6">
        <w:rPr>
          <w:rFonts w:ascii="Tahoma" w:hAnsi="Tahoma" w:cs="Tahoma" w:hint="eastAsia"/>
          <w:b/>
          <w:bCs/>
          <w:kern w:val="0"/>
          <w:sz w:val="28"/>
          <w:szCs w:val="28"/>
        </w:rPr>
        <w:t>口腔专科病历及信息管理系统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FB11E6">
        <w:rPr>
          <w:rFonts w:ascii="Tahoma" w:hAnsi="Tahoma" w:cs="Tahoma" w:hint="eastAsia"/>
          <w:kern w:val="0"/>
          <w:sz w:val="28"/>
          <w:szCs w:val="28"/>
        </w:rPr>
        <w:t>2020-JL13-03-W30016</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40A76" w:rsidRDefault="004E18EC" w:rsidP="00040A76">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040A76">
        <w:rPr>
          <w:rFonts w:ascii="宋体" w:eastAsia="宋体" w:hAnsi="宋体" w:cs="Times New Roman" w:hint="eastAsia"/>
          <w:kern w:val="0"/>
          <w:sz w:val="24"/>
          <w:szCs w:val="24"/>
        </w:rPr>
        <w:t>口腔专科病历及信息管理系统</w:t>
      </w:r>
    </w:p>
    <w:p w:rsidR="000F19EE" w:rsidRPr="00A829B8" w:rsidRDefault="004E18EC" w:rsidP="00040A76">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FB11E6">
        <w:rPr>
          <w:rFonts w:ascii="宋体" w:eastAsia="宋体" w:hAnsi="宋体" w:cs="Times New Roman" w:hint="eastAsia"/>
          <w:kern w:val="0"/>
          <w:sz w:val="24"/>
          <w:szCs w:val="24"/>
        </w:rPr>
        <w:t>2020-JL13-03-W30016</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040A76"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口腔专科病历及信息管理系统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7433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FB11E6">
              <w:rPr>
                <w:rFonts w:asciiTheme="minorEastAsia" w:hAnsiTheme="minorEastAsia" w:cs="Times New Roman" w:hint="eastAsia"/>
                <w:szCs w:val="21"/>
              </w:rPr>
              <w:t>120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0654D" w:rsidRPr="00A829B8" w:rsidTr="0000654D">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00654D" w:rsidRDefault="0000654D" w:rsidP="0000654D">
            <w:pPr>
              <w:adjustRightInd w:val="0"/>
              <w:snapToGrid w:val="0"/>
              <w:spacing w:line="360" w:lineRule="exact"/>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0654D" w:rsidRPr="00A829B8" w:rsidRDefault="0000654D" w:rsidP="0000654D">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人民币小写：300,000.00元整       大写：叁拾万元整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551FC2">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10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040A76">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040A76">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040A76">
        <w:trPr>
          <w:trHeight w:hRule="exact" w:val="901"/>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040A76"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口腔专科病历及信息管理系统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FB11E6">
        <w:rPr>
          <w:rFonts w:asciiTheme="minorEastAsia" w:hAnsiTheme="minorEastAsia" w:cs="Times New Roman" w:hint="eastAsia"/>
          <w:kern w:val="0"/>
          <w:sz w:val="24"/>
          <w:szCs w:val="24"/>
          <w:u w:val="single"/>
        </w:rPr>
        <w:t>120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sidR="00FB11E6">
        <w:rPr>
          <w:rFonts w:asciiTheme="minorEastAsia" w:hAnsiTheme="minorEastAsia" w:cs="Times New Roman" w:hint="eastAsia"/>
          <w:color w:val="FF0000"/>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886325"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02753B"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0002753B"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02753B">
        <w:rPr>
          <w:rFonts w:asciiTheme="minorEastAsia" w:hAnsiTheme="minorEastAsia" w:cs="Arial" w:hint="eastAsia"/>
          <w:sz w:val="24"/>
          <w:szCs w:val="24"/>
        </w:rPr>
        <w:t>。</w:t>
      </w:r>
    </w:p>
    <w:p w:rsidR="0002753B" w:rsidRDefault="00886325"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sidRPr="00CA47C5">
        <w:rPr>
          <w:rFonts w:asciiTheme="minorEastAsia" w:hAnsiTheme="minorEastAsia" w:cs="Arial" w:hint="eastAsia"/>
          <w:sz w:val="24"/>
          <w:szCs w:val="24"/>
        </w:rPr>
        <w:t>.</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0002753B"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886325"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bookmarkStart w:id="9" w:name="_GoBack"/>
      <w:bookmarkEnd w:id="9"/>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B11E6">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B11E6">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FB11E6"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FB11E6" w:rsidRDefault="00FB11E6" w:rsidP="007C0CB8">
      <w:pPr>
        <w:adjustRightInd w:val="0"/>
        <w:snapToGrid w:val="0"/>
        <w:spacing w:line="440" w:lineRule="exact"/>
        <w:rPr>
          <w:rFonts w:ascii="黑体" w:eastAsia="黑体" w:hAnsi="黑体" w:cs="Times New Roman"/>
          <w:kern w:val="0"/>
          <w:sz w:val="32"/>
          <w:szCs w:val="32"/>
        </w:rPr>
      </w:pPr>
    </w:p>
    <w:p w:rsidR="00FB11E6" w:rsidRDefault="00FB11E6" w:rsidP="007C0CB8">
      <w:pPr>
        <w:adjustRightInd w:val="0"/>
        <w:snapToGrid w:val="0"/>
        <w:spacing w:line="440" w:lineRule="exact"/>
        <w:rPr>
          <w:rFonts w:ascii="黑体" w:eastAsia="黑体" w:hAnsi="黑体" w:cs="Times New Roman"/>
          <w:kern w:val="0"/>
          <w:sz w:val="32"/>
          <w:szCs w:val="32"/>
        </w:rPr>
      </w:pPr>
    </w:p>
    <w:p w:rsidR="00FB11E6" w:rsidRDefault="00FB11E6" w:rsidP="007C0CB8">
      <w:pPr>
        <w:adjustRightInd w:val="0"/>
        <w:snapToGrid w:val="0"/>
        <w:spacing w:line="440" w:lineRule="exact"/>
        <w:rPr>
          <w:rFonts w:ascii="黑体" w:eastAsia="黑体" w:hAnsi="黑体" w:cs="Times New Roman"/>
          <w:kern w:val="0"/>
          <w:sz w:val="32"/>
          <w:szCs w:val="32"/>
        </w:rPr>
      </w:pPr>
    </w:p>
    <w:p w:rsidR="00FB11E6" w:rsidRDefault="00FB11E6"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551FC2">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551FC2">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551FC2">
            <w:pPr>
              <w:adjustRightInd w:val="0"/>
              <w:snapToGrid w:val="0"/>
              <w:spacing w:line="300" w:lineRule="auto"/>
              <w:rPr>
                <w:rFonts w:ascii="宋体" w:hAnsi="宋体"/>
                <w:b/>
                <w:bCs/>
                <w:sz w:val="21"/>
                <w:szCs w:val="21"/>
              </w:rPr>
            </w:pPr>
          </w:p>
          <w:p w:rsidR="00A10AA1" w:rsidRPr="005B42D2" w:rsidRDefault="00A10AA1" w:rsidP="00551FC2">
            <w:pPr>
              <w:adjustRightInd w:val="0"/>
              <w:snapToGrid w:val="0"/>
              <w:spacing w:line="300" w:lineRule="auto"/>
              <w:rPr>
                <w:rFonts w:ascii="宋体" w:hAnsi="宋体"/>
                <w:b/>
                <w:bCs/>
                <w:sz w:val="21"/>
                <w:szCs w:val="21"/>
              </w:rPr>
            </w:pPr>
          </w:p>
        </w:tc>
      </w:tr>
      <w:tr w:rsidR="00A10AA1" w:rsidRPr="005B42D2" w:rsidTr="00551FC2">
        <w:trPr>
          <w:trHeight w:val="1027"/>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551FC2">
        <w:trPr>
          <w:trHeight w:val="1995"/>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551FC2">
        <w:trPr>
          <w:trHeight w:val="438"/>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1406"/>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43"/>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943"/>
        </w:trPr>
        <w:tc>
          <w:tcPr>
            <w:tcW w:w="708"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551FC2">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551FC2">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551FC2">
        <w:trPr>
          <w:trHeight w:val="480"/>
        </w:trPr>
        <w:tc>
          <w:tcPr>
            <w:tcW w:w="8648" w:type="dxa"/>
            <w:gridSpan w:val="4"/>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8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33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3"/>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7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551FC2">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551FC2">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551FC2">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551FC2">
        <w:trPr>
          <w:trHeight w:val="180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551FC2">
        <w:trPr>
          <w:trHeight w:val="741"/>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5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72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899"/>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55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82"/>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113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FB11E6">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FB11E6">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40282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875FB" w:rsidRPr="00934050" w:rsidRDefault="001875F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402820"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875FB" w:rsidRPr="00934050" w:rsidRDefault="001875F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1875FB" w:rsidRPr="00B9777E" w:rsidRDefault="001875FB" w:rsidP="001875FB">
      <w:pPr>
        <w:rPr>
          <w:rFonts w:ascii="宋体" w:eastAsia="宋体" w:hAnsi="宋体" w:cs="Times New Roman"/>
          <w:b/>
          <w:sz w:val="28"/>
          <w:szCs w:val="28"/>
        </w:rPr>
      </w:pPr>
      <w:r w:rsidRPr="00B9777E">
        <w:rPr>
          <w:rFonts w:ascii="宋体" w:eastAsia="宋体" w:hAnsi="宋体" w:cs="Times New Roman" w:hint="eastAsia"/>
          <w:b/>
          <w:sz w:val="28"/>
          <w:szCs w:val="28"/>
        </w:rPr>
        <w:t>一、本次招标内容列表</w:t>
      </w:r>
    </w:p>
    <w:tbl>
      <w:tblPr>
        <w:tblpPr w:leftFromText="180" w:rightFromText="180" w:vertAnchor="text" w:horzAnchor="margin" w:tblpY="152"/>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5646"/>
        <w:gridCol w:w="1158"/>
        <w:gridCol w:w="1048"/>
      </w:tblGrid>
      <w:tr w:rsidR="001875FB" w:rsidRPr="00B9777E" w:rsidTr="001875FB">
        <w:trPr>
          <w:trHeight w:hRule="exact" w:val="514"/>
        </w:trPr>
        <w:tc>
          <w:tcPr>
            <w:tcW w:w="1162" w:type="dxa"/>
            <w:vAlign w:val="center"/>
          </w:tcPr>
          <w:p w:rsidR="001875FB" w:rsidRPr="00B9777E" w:rsidRDefault="001875FB" w:rsidP="001875FB">
            <w:pPr>
              <w:jc w:val="center"/>
              <w:rPr>
                <w:rFonts w:ascii="宋体" w:eastAsia="宋体" w:hAnsi="宋体" w:cs="Times New Roman"/>
                <w:b/>
                <w:bCs/>
                <w:szCs w:val="21"/>
              </w:rPr>
            </w:pPr>
            <w:r w:rsidRPr="00B9777E">
              <w:rPr>
                <w:rFonts w:ascii="宋体" w:eastAsia="宋体" w:hAnsi="宋体" w:cs="Times New Roman" w:hint="eastAsia"/>
                <w:b/>
                <w:bCs/>
                <w:szCs w:val="21"/>
              </w:rPr>
              <w:t>序号</w:t>
            </w:r>
          </w:p>
        </w:tc>
        <w:tc>
          <w:tcPr>
            <w:tcW w:w="5646" w:type="dxa"/>
            <w:vAlign w:val="center"/>
          </w:tcPr>
          <w:p w:rsidR="001875FB" w:rsidRPr="00B9777E" w:rsidRDefault="001875FB" w:rsidP="001875FB">
            <w:pPr>
              <w:jc w:val="center"/>
              <w:rPr>
                <w:rFonts w:ascii="宋体" w:eastAsia="宋体" w:hAnsi="宋体" w:cs="Times New Roman"/>
                <w:b/>
                <w:bCs/>
                <w:szCs w:val="21"/>
              </w:rPr>
            </w:pPr>
            <w:r w:rsidRPr="00B9777E">
              <w:rPr>
                <w:rFonts w:ascii="宋体" w:eastAsia="宋体" w:hAnsi="宋体" w:cs="Times New Roman" w:hint="eastAsia"/>
                <w:b/>
                <w:bCs/>
                <w:szCs w:val="21"/>
              </w:rPr>
              <w:t>内容</w:t>
            </w:r>
          </w:p>
        </w:tc>
        <w:tc>
          <w:tcPr>
            <w:tcW w:w="1158" w:type="dxa"/>
            <w:vAlign w:val="center"/>
          </w:tcPr>
          <w:p w:rsidR="001875FB" w:rsidRPr="00B9777E" w:rsidRDefault="001875FB" w:rsidP="001875FB">
            <w:pPr>
              <w:jc w:val="center"/>
              <w:rPr>
                <w:rFonts w:ascii="宋体" w:eastAsia="宋体" w:hAnsi="宋体" w:cs="Times New Roman"/>
                <w:b/>
                <w:bCs/>
                <w:szCs w:val="21"/>
              </w:rPr>
            </w:pPr>
            <w:r w:rsidRPr="00B9777E">
              <w:rPr>
                <w:rFonts w:ascii="宋体" w:eastAsia="宋体" w:hAnsi="宋体" w:cs="Times New Roman" w:hint="eastAsia"/>
                <w:b/>
                <w:bCs/>
                <w:szCs w:val="21"/>
              </w:rPr>
              <w:t>数量</w:t>
            </w:r>
          </w:p>
        </w:tc>
        <w:tc>
          <w:tcPr>
            <w:tcW w:w="1048" w:type="dxa"/>
            <w:vAlign w:val="center"/>
          </w:tcPr>
          <w:p w:rsidR="001875FB" w:rsidRPr="00B9777E" w:rsidRDefault="001875FB" w:rsidP="001875FB">
            <w:pPr>
              <w:jc w:val="center"/>
              <w:rPr>
                <w:rFonts w:ascii="宋体" w:eastAsia="宋体" w:hAnsi="宋体" w:cs="Times New Roman"/>
                <w:b/>
                <w:bCs/>
                <w:szCs w:val="21"/>
              </w:rPr>
            </w:pPr>
            <w:r w:rsidRPr="00B9777E">
              <w:rPr>
                <w:rFonts w:ascii="宋体" w:eastAsia="宋体" w:hAnsi="宋体" w:cs="Times New Roman" w:hint="eastAsia"/>
                <w:b/>
                <w:bCs/>
                <w:szCs w:val="21"/>
              </w:rPr>
              <w:t>备注</w:t>
            </w:r>
          </w:p>
        </w:tc>
      </w:tr>
      <w:tr w:rsidR="001875FB" w:rsidRPr="00B9777E" w:rsidTr="001875FB">
        <w:trPr>
          <w:trHeight w:hRule="exact" w:val="908"/>
        </w:trPr>
        <w:tc>
          <w:tcPr>
            <w:tcW w:w="1162" w:type="dxa"/>
            <w:vAlign w:val="center"/>
          </w:tcPr>
          <w:p w:rsidR="001875FB" w:rsidRPr="00B9777E" w:rsidRDefault="001875FB" w:rsidP="001875FB">
            <w:pPr>
              <w:widowControl/>
              <w:topLinePunct/>
              <w:autoSpaceDE w:val="0"/>
              <w:adjustRightInd w:val="0"/>
              <w:spacing w:line="360" w:lineRule="auto"/>
              <w:jc w:val="center"/>
              <w:rPr>
                <w:rFonts w:ascii="宋体" w:eastAsia="宋体" w:hAnsi="宋体" w:cs="宋体"/>
                <w:szCs w:val="21"/>
              </w:rPr>
            </w:pPr>
            <w:r w:rsidRPr="00B9777E">
              <w:rPr>
                <w:rFonts w:ascii="宋体" w:eastAsia="宋体" w:hAnsi="宋体" w:cs="宋体" w:hint="eastAsia"/>
                <w:szCs w:val="21"/>
              </w:rPr>
              <w:t>1</w:t>
            </w:r>
          </w:p>
        </w:tc>
        <w:tc>
          <w:tcPr>
            <w:tcW w:w="5646" w:type="dxa"/>
            <w:vAlign w:val="center"/>
          </w:tcPr>
          <w:p w:rsidR="001875FB" w:rsidRPr="00B9777E" w:rsidRDefault="001875FB" w:rsidP="001875FB">
            <w:pPr>
              <w:widowControl/>
              <w:topLinePunct/>
              <w:autoSpaceDE w:val="0"/>
              <w:adjustRightInd w:val="0"/>
              <w:spacing w:line="360" w:lineRule="auto"/>
              <w:jc w:val="center"/>
              <w:rPr>
                <w:rFonts w:ascii="宋体" w:eastAsia="宋体" w:hAnsi="宋体" w:cs="宋体"/>
                <w:szCs w:val="21"/>
              </w:rPr>
            </w:pPr>
            <w:r w:rsidRPr="00B9777E">
              <w:rPr>
                <w:rFonts w:ascii="宋体" w:eastAsia="宋体" w:hAnsi="宋体" w:cs="宋体" w:hint="eastAsia"/>
                <w:szCs w:val="21"/>
              </w:rPr>
              <w:t>口腔专科病历及信息管理系统</w:t>
            </w:r>
          </w:p>
        </w:tc>
        <w:tc>
          <w:tcPr>
            <w:tcW w:w="1158" w:type="dxa"/>
            <w:vAlign w:val="center"/>
          </w:tcPr>
          <w:p w:rsidR="001875FB" w:rsidRPr="00B9777E" w:rsidRDefault="001875FB" w:rsidP="001875FB">
            <w:pPr>
              <w:widowControl/>
              <w:topLinePunct/>
              <w:autoSpaceDE w:val="0"/>
              <w:adjustRightInd w:val="0"/>
              <w:spacing w:line="360" w:lineRule="auto"/>
              <w:jc w:val="center"/>
              <w:rPr>
                <w:rFonts w:ascii="宋体" w:eastAsia="宋体" w:hAnsi="宋体" w:cs="宋体"/>
                <w:szCs w:val="21"/>
              </w:rPr>
            </w:pPr>
            <w:r w:rsidRPr="00B9777E">
              <w:rPr>
                <w:rFonts w:ascii="宋体" w:eastAsia="宋体" w:hAnsi="宋体" w:cs="宋体" w:hint="eastAsia"/>
                <w:szCs w:val="21"/>
              </w:rPr>
              <w:t>1套</w:t>
            </w:r>
          </w:p>
        </w:tc>
        <w:tc>
          <w:tcPr>
            <w:tcW w:w="1048" w:type="dxa"/>
            <w:vAlign w:val="center"/>
          </w:tcPr>
          <w:p w:rsidR="001875FB" w:rsidRPr="00B9777E" w:rsidRDefault="001875FB" w:rsidP="001875FB">
            <w:pPr>
              <w:widowControl/>
              <w:topLinePunct/>
              <w:autoSpaceDE w:val="0"/>
              <w:adjustRightInd w:val="0"/>
              <w:spacing w:line="360" w:lineRule="auto"/>
              <w:jc w:val="center"/>
              <w:rPr>
                <w:rFonts w:ascii="宋体" w:eastAsia="宋体" w:hAnsi="宋体" w:cs="宋体"/>
                <w:szCs w:val="21"/>
              </w:rPr>
            </w:pPr>
          </w:p>
        </w:tc>
      </w:tr>
    </w:tbl>
    <w:p w:rsidR="001875FB" w:rsidRPr="00B9777E" w:rsidRDefault="001875FB" w:rsidP="001875FB">
      <w:pPr>
        <w:widowControl/>
        <w:topLinePunct/>
        <w:autoSpaceDE w:val="0"/>
        <w:adjustRightInd w:val="0"/>
        <w:spacing w:line="360" w:lineRule="auto"/>
        <w:rPr>
          <w:rFonts w:ascii="黑体" w:eastAsia="黑体" w:hAnsi="宋体" w:cs="宋体"/>
          <w:sz w:val="28"/>
          <w:szCs w:val="28"/>
        </w:rPr>
      </w:pPr>
      <w:r w:rsidRPr="00B9777E">
        <w:rPr>
          <w:rFonts w:ascii="黑体" w:eastAsia="黑体" w:hAnsi="宋体" w:cs="宋体" w:hint="eastAsia"/>
          <w:sz w:val="28"/>
          <w:szCs w:val="28"/>
        </w:rPr>
        <w:t>二、项目总体要求</w:t>
      </w:r>
    </w:p>
    <w:tbl>
      <w:tblPr>
        <w:tblStyle w:val="60"/>
        <w:tblW w:w="8897" w:type="dxa"/>
        <w:tblLayout w:type="fixed"/>
        <w:tblLook w:val="04A0" w:firstRow="1" w:lastRow="0" w:firstColumn="1" w:lastColumn="0" w:noHBand="0" w:noVBand="1"/>
      </w:tblPr>
      <w:tblGrid>
        <w:gridCol w:w="817"/>
        <w:gridCol w:w="1843"/>
        <w:gridCol w:w="6237"/>
      </w:tblGrid>
      <w:tr w:rsidR="001875FB" w:rsidRPr="00B9777E" w:rsidTr="001875FB">
        <w:trPr>
          <w:trHeight w:val="349"/>
        </w:trPr>
        <w:tc>
          <w:tcPr>
            <w:tcW w:w="817" w:type="dxa"/>
            <w:tcBorders>
              <w:righ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 w:val="21"/>
                <w:szCs w:val="21"/>
                <w:lang w:val="es-AR" w:bidi="ne-NP"/>
              </w:rPr>
            </w:pPr>
            <w:r w:rsidRPr="00B9777E">
              <w:rPr>
                <w:rFonts w:asciiTheme="minorEastAsia" w:hAnsiTheme="minorEastAsia" w:cs="宋体" w:hint="eastAsia"/>
                <w:b/>
                <w:sz w:val="21"/>
                <w:szCs w:val="21"/>
                <w:lang w:val="es-AR" w:bidi="ne-NP"/>
              </w:rPr>
              <w:t>序号</w:t>
            </w:r>
          </w:p>
        </w:tc>
        <w:tc>
          <w:tcPr>
            <w:tcW w:w="1843" w:type="dxa"/>
            <w:tcBorders>
              <w:lef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 w:val="21"/>
                <w:szCs w:val="21"/>
                <w:lang w:val="es-AR" w:bidi="ne-NP"/>
              </w:rPr>
            </w:pPr>
            <w:r w:rsidRPr="00B9777E">
              <w:rPr>
                <w:rFonts w:asciiTheme="minorEastAsia" w:hAnsiTheme="minorEastAsia" w:cs="宋体" w:hint="eastAsia"/>
                <w:b/>
                <w:sz w:val="21"/>
                <w:szCs w:val="21"/>
                <w:lang w:val="es-AR" w:bidi="ne-NP"/>
              </w:rPr>
              <w:t>要求</w:t>
            </w:r>
          </w:p>
        </w:tc>
        <w:tc>
          <w:tcPr>
            <w:tcW w:w="6237" w:type="dxa"/>
            <w:vAlign w:val="bottom"/>
          </w:tcPr>
          <w:p w:rsidR="001875FB" w:rsidRPr="00B9777E" w:rsidRDefault="001875FB" w:rsidP="001875FB">
            <w:pPr>
              <w:widowControl/>
              <w:topLinePunct/>
              <w:autoSpaceDE w:val="0"/>
              <w:adjustRightInd w:val="0"/>
              <w:spacing w:line="360" w:lineRule="auto"/>
              <w:jc w:val="center"/>
              <w:rPr>
                <w:rFonts w:asciiTheme="minorEastAsia" w:hAnsiTheme="minorEastAsia" w:cs="宋体"/>
                <w:b/>
                <w:sz w:val="21"/>
                <w:szCs w:val="21"/>
                <w:lang w:val="es-AR" w:bidi="ne-NP"/>
              </w:rPr>
            </w:pPr>
            <w:r w:rsidRPr="00B9777E">
              <w:rPr>
                <w:rFonts w:asciiTheme="minorEastAsia" w:hAnsiTheme="minorEastAsia" w:cs="宋体" w:hint="eastAsia"/>
                <w:b/>
                <w:sz w:val="21"/>
                <w:szCs w:val="21"/>
                <w:lang w:val="es-AR" w:bidi="ne-NP"/>
              </w:rPr>
              <w:t>具体内容</w:t>
            </w:r>
          </w:p>
        </w:tc>
      </w:tr>
      <w:tr w:rsidR="001875FB" w:rsidRPr="00B9777E" w:rsidTr="001875FB">
        <w:trPr>
          <w:trHeight w:val="363"/>
        </w:trPr>
        <w:tc>
          <w:tcPr>
            <w:tcW w:w="817" w:type="dxa"/>
            <w:tcBorders>
              <w:righ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1</w:t>
            </w:r>
          </w:p>
        </w:tc>
        <w:tc>
          <w:tcPr>
            <w:tcW w:w="1843" w:type="dxa"/>
            <w:tcBorders>
              <w:lef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工期</w:t>
            </w:r>
          </w:p>
        </w:tc>
        <w:tc>
          <w:tcPr>
            <w:tcW w:w="6237" w:type="dxa"/>
            <w:vAlign w:val="bottom"/>
          </w:tcPr>
          <w:p w:rsidR="001875FB" w:rsidRPr="00B9777E" w:rsidRDefault="001875FB" w:rsidP="001875FB">
            <w:pPr>
              <w:widowControl/>
              <w:topLinePunct/>
              <w:autoSpaceDE w:val="0"/>
              <w:adjustRightInd w:val="0"/>
              <w:spacing w:line="360" w:lineRule="auto"/>
              <w:jc w:val="left"/>
              <w:rPr>
                <w:rFonts w:asciiTheme="minorEastAsia" w:hAnsiTheme="minorEastAsia" w:cs="宋体"/>
                <w:sz w:val="21"/>
                <w:szCs w:val="21"/>
              </w:rPr>
            </w:pPr>
            <w:r w:rsidRPr="00B9777E">
              <w:rPr>
                <w:rFonts w:asciiTheme="minorEastAsia" w:hAnsiTheme="minorEastAsia" w:cs="宋体" w:hint="eastAsia"/>
                <w:sz w:val="21"/>
                <w:szCs w:val="21"/>
              </w:rPr>
              <w:t>签订合同后</w:t>
            </w:r>
            <w:r w:rsidRPr="00B9777E">
              <w:rPr>
                <w:rFonts w:asciiTheme="minorEastAsia" w:hAnsiTheme="minorEastAsia" w:cs="宋体" w:hint="eastAsia"/>
                <w:sz w:val="21"/>
                <w:szCs w:val="21"/>
                <w:u w:val="single"/>
              </w:rPr>
              <w:t>120</w:t>
            </w:r>
            <w:r w:rsidRPr="00B9777E">
              <w:rPr>
                <w:rFonts w:asciiTheme="minorEastAsia" w:hAnsiTheme="minorEastAsia" w:cs="宋体" w:hint="eastAsia"/>
                <w:sz w:val="21"/>
                <w:szCs w:val="21"/>
              </w:rPr>
              <w:t>日内完成。</w:t>
            </w:r>
          </w:p>
        </w:tc>
      </w:tr>
      <w:tr w:rsidR="001875FB" w:rsidRPr="00B9777E" w:rsidTr="001875FB">
        <w:trPr>
          <w:trHeight w:val="1320"/>
        </w:trPr>
        <w:tc>
          <w:tcPr>
            <w:tcW w:w="817" w:type="dxa"/>
            <w:tcBorders>
              <w:righ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2</w:t>
            </w:r>
          </w:p>
        </w:tc>
        <w:tc>
          <w:tcPr>
            <w:tcW w:w="1843" w:type="dxa"/>
            <w:tcBorders>
              <w:lef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售后服务</w:t>
            </w:r>
          </w:p>
        </w:tc>
        <w:tc>
          <w:tcPr>
            <w:tcW w:w="6237" w:type="dxa"/>
            <w:vAlign w:val="bottom"/>
          </w:tcPr>
          <w:p w:rsidR="001875FB" w:rsidRPr="00B9777E" w:rsidRDefault="001875FB" w:rsidP="001875FB">
            <w:pPr>
              <w:widowControl/>
              <w:numPr>
                <w:ilvl w:val="0"/>
                <w:numId w:val="48"/>
              </w:numPr>
              <w:topLinePunct/>
              <w:autoSpaceDE w:val="0"/>
              <w:adjustRightInd w:val="0"/>
              <w:spacing w:line="360" w:lineRule="auto"/>
              <w:jc w:val="left"/>
              <w:rPr>
                <w:rFonts w:asciiTheme="minorEastAsia" w:hAnsiTheme="minorEastAsia" w:cs="宋体"/>
                <w:sz w:val="21"/>
                <w:szCs w:val="21"/>
              </w:rPr>
            </w:pPr>
            <w:r w:rsidRPr="00B9777E">
              <w:rPr>
                <w:rFonts w:asciiTheme="minorEastAsia" w:hAnsiTheme="minorEastAsia" w:cs="宋体" w:hint="eastAsia"/>
                <w:sz w:val="21"/>
                <w:szCs w:val="21"/>
              </w:rPr>
              <w:t>所投软件自验收合格日起至少提供为期</w:t>
            </w:r>
            <w:r w:rsidRPr="00B9777E">
              <w:rPr>
                <w:rFonts w:asciiTheme="minorEastAsia" w:hAnsiTheme="minorEastAsia" w:cs="宋体" w:hint="eastAsia"/>
                <w:sz w:val="21"/>
                <w:szCs w:val="21"/>
                <w:u w:val="single"/>
              </w:rPr>
              <w:t>3</w:t>
            </w:r>
            <w:r w:rsidRPr="00B9777E">
              <w:rPr>
                <w:rFonts w:asciiTheme="minorEastAsia" w:hAnsiTheme="minorEastAsia" w:cs="宋体" w:hint="eastAsia"/>
                <w:sz w:val="21"/>
                <w:szCs w:val="21"/>
              </w:rPr>
              <w:t>年以上的原厂免费售后服务，故障响应：7</w:t>
            </w:r>
            <w:r w:rsidRPr="00B9777E">
              <w:rPr>
                <w:rFonts w:asciiTheme="minorEastAsia" w:hAnsiTheme="minorEastAsia" w:cs="Arial"/>
                <w:sz w:val="21"/>
                <w:szCs w:val="21"/>
              </w:rPr>
              <w:t>×</w:t>
            </w:r>
            <w:r w:rsidRPr="00B9777E">
              <w:rPr>
                <w:rFonts w:asciiTheme="minorEastAsia" w:hAnsiTheme="minorEastAsia" w:cs="宋体" w:hint="eastAsia"/>
                <w:sz w:val="21"/>
                <w:szCs w:val="21"/>
              </w:rPr>
              <w:t>24小时；</w:t>
            </w:r>
          </w:p>
          <w:p w:rsidR="001875FB" w:rsidRPr="00B9777E" w:rsidRDefault="001875FB" w:rsidP="001875FB">
            <w:pPr>
              <w:widowControl/>
              <w:numPr>
                <w:ilvl w:val="0"/>
                <w:numId w:val="48"/>
              </w:numPr>
              <w:topLinePunct/>
              <w:autoSpaceDE w:val="0"/>
              <w:adjustRightInd w:val="0"/>
              <w:spacing w:line="360" w:lineRule="auto"/>
              <w:jc w:val="left"/>
              <w:rPr>
                <w:rFonts w:asciiTheme="minorEastAsia" w:hAnsiTheme="minorEastAsia" w:cs="宋体"/>
                <w:sz w:val="21"/>
                <w:szCs w:val="21"/>
              </w:rPr>
            </w:pPr>
            <w:r w:rsidRPr="00B9777E">
              <w:rPr>
                <w:rFonts w:asciiTheme="minorEastAsia" w:hAnsiTheme="minorEastAsia" w:cs="宋体" w:hint="eastAsia"/>
                <w:sz w:val="21"/>
                <w:szCs w:val="21"/>
              </w:rPr>
              <w:t>*院方其他平台、系统需调用此系统平台接口必须无条件、免费提供使用。</w:t>
            </w:r>
          </w:p>
        </w:tc>
      </w:tr>
      <w:tr w:rsidR="001875FB" w:rsidRPr="00B9777E" w:rsidTr="001875FB">
        <w:trPr>
          <w:trHeight w:val="348"/>
        </w:trPr>
        <w:tc>
          <w:tcPr>
            <w:tcW w:w="817" w:type="dxa"/>
            <w:tcBorders>
              <w:righ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3</w:t>
            </w:r>
          </w:p>
        </w:tc>
        <w:tc>
          <w:tcPr>
            <w:tcW w:w="1843" w:type="dxa"/>
            <w:tcBorders>
              <w:lef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培训</w:t>
            </w:r>
          </w:p>
        </w:tc>
        <w:tc>
          <w:tcPr>
            <w:tcW w:w="6237" w:type="dxa"/>
            <w:vAlign w:val="bottom"/>
          </w:tcPr>
          <w:p w:rsidR="001875FB" w:rsidRPr="00B9777E" w:rsidRDefault="001875FB" w:rsidP="001875FB">
            <w:pPr>
              <w:widowControl/>
              <w:topLinePunct/>
              <w:autoSpaceDE w:val="0"/>
              <w:adjustRightInd w:val="0"/>
              <w:spacing w:line="360" w:lineRule="auto"/>
              <w:jc w:val="left"/>
              <w:rPr>
                <w:rFonts w:asciiTheme="minorEastAsia" w:hAnsiTheme="minorEastAsia" w:cs="宋体"/>
                <w:sz w:val="21"/>
                <w:szCs w:val="21"/>
              </w:rPr>
            </w:pPr>
            <w:r w:rsidRPr="00B9777E">
              <w:rPr>
                <w:rFonts w:asciiTheme="minorEastAsia" w:hAnsiTheme="minorEastAsia" w:cs="宋体" w:hint="eastAsia"/>
                <w:sz w:val="21"/>
                <w:szCs w:val="21"/>
              </w:rPr>
              <w:t>对全体使用人员进行培训。</w:t>
            </w:r>
            <w:r w:rsidRPr="00B9777E">
              <w:rPr>
                <w:rFonts w:asciiTheme="minorEastAsia" w:hAnsiTheme="minorEastAsia" w:cs="宋体" w:hint="eastAsia"/>
                <w:sz w:val="21"/>
                <w:szCs w:val="21"/>
                <w:lang w:val="es-AR"/>
              </w:rPr>
              <w:t>（具体内容自定）。</w:t>
            </w:r>
          </w:p>
        </w:tc>
      </w:tr>
    </w:tbl>
    <w:p w:rsidR="001875FB" w:rsidRPr="00B9777E" w:rsidRDefault="001875FB" w:rsidP="001875FB">
      <w:pPr>
        <w:widowControl/>
        <w:topLinePunct/>
        <w:autoSpaceDE w:val="0"/>
        <w:adjustRightInd w:val="0"/>
        <w:spacing w:line="360" w:lineRule="auto"/>
        <w:jc w:val="left"/>
        <w:rPr>
          <w:rFonts w:ascii="黑体" w:eastAsia="黑体" w:hAnsi="宋体" w:cs="宋体"/>
          <w:sz w:val="28"/>
          <w:szCs w:val="28"/>
        </w:rPr>
      </w:pPr>
      <w:r w:rsidRPr="00B9777E">
        <w:rPr>
          <w:rFonts w:ascii="宋体" w:eastAsia="宋体" w:hAnsi="宋体" w:cs="Times New Roman" w:hint="eastAsia"/>
          <w:b/>
          <w:sz w:val="28"/>
          <w:szCs w:val="28"/>
        </w:rPr>
        <w:t>三、</w:t>
      </w:r>
      <w:r w:rsidRPr="00B9777E">
        <w:rPr>
          <w:rFonts w:ascii="黑体" w:eastAsia="黑体" w:hAnsi="宋体" w:cs="宋体" w:hint="eastAsia"/>
          <w:sz w:val="28"/>
          <w:szCs w:val="28"/>
        </w:rPr>
        <w:t>软件功能及性能</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30"/>
        <w:gridCol w:w="6933"/>
      </w:tblGrid>
      <w:tr w:rsidR="001875FB" w:rsidRPr="00B9777E" w:rsidTr="001875FB">
        <w:trPr>
          <w:tblHeader/>
          <w:jc w:val="center"/>
        </w:trPr>
        <w:tc>
          <w:tcPr>
            <w:tcW w:w="563" w:type="dxa"/>
            <w:tcBorders>
              <w:bottom w:val="single" w:sz="4" w:space="0" w:color="auto"/>
            </w:tcBorders>
            <w:shd w:val="clear" w:color="auto" w:fill="auto"/>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Cs w:val="21"/>
                <w:lang w:val="es-AR" w:bidi="ne-NP"/>
              </w:rPr>
            </w:pPr>
            <w:r w:rsidRPr="00B9777E">
              <w:rPr>
                <w:rFonts w:asciiTheme="minorEastAsia" w:hAnsiTheme="minorEastAsia" w:cs="宋体" w:hint="eastAsia"/>
                <w:b/>
                <w:szCs w:val="21"/>
                <w:lang w:val="es-AR" w:bidi="ne-NP"/>
              </w:rPr>
              <w:lastRenderedPageBreak/>
              <w:t>序号</w:t>
            </w:r>
          </w:p>
        </w:tc>
        <w:tc>
          <w:tcPr>
            <w:tcW w:w="1430" w:type="dxa"/>
            <w:tcBorders>
              <w:bottom w:val="single" w:sz="4" w:space="0" w:color="auto"/>
            </w:tcBorders>
            <w:shd w:val="clear" w:color="auto" w:fill="auto"/>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Cs w:val="21"/>
                <w:lang w:val="es-AR" w:bidi="ne-NP"/>
              </w:rPr>
            </w:pPr>
            <w:r w:rsidRPr="00B9777E">
              <w:rPr>
                <w:rFonts w:asciiTheme="minorEastAsia" w:hAnsiTheme="minorEastAsia" w:cs="宋体" w:hint="eastAsia"/>
                <w:b/>
                <w:szCs w:val="21"/>
                <w:lang w:val="es-AR" w:bidi="ne-NP"/>
              </w:rPr>
              <w:t>功能</w:t>
            </w:r>
          </w:p>
        </w:tc>
        <w:tc>
          <w:tcPr>
            <w:tcW w:w="6933" w:type="dxa"/>
            <w:tcBorders>
              <w:bottom w:val="single" w:sz="4" w:space="0" w:color="auto"/>
            </w:tcBorders>
            <w:shd w:val="clear" w:color="auto" w:fill="auto"/>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Cs w:val="21"/>
                <w:lang w:val="es-AR" w:bidi="ne-NP"/>
              </w:rPr>
            </w:pPr>
            <w:r w:rsidRPr="00B9777E">
              <w:rPr>
                <w:rFonts w:asciiTheme="minorEastAsia" w:hAnsiTheme="minorEastAsia" w:cs="宋体" w:hint="eastAsia"/>
                <w:b/>
                <w:szCs w:val="21"/>
                <w:lang w:val="es-AR" w:bidi="ne-NP"/>
              </w:rPr>
              <w:t>具体功能</w:t>
            </w:r>
          </w:p>
        </w:tc>
      </w:tr>
      <w:tr w:rsidR="001875FB" w:rsidRPr="00B9777E" w:rsidTr="001875FB">
        <w:trPr>
          <w:trHeight w:val="90"/>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1</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病历系统</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*满足口腔各临床学科的门诊病历要求，病历满足国家电子病历系统要求，具有法律效力，病历更改可追溯；</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患者预约与就诊叫号管理、收费等与医院</w:t>
            </w:r>
            <w:proofErr w:type="gramStart"/>
            <w:r w:rsidRPr="00B9777E">
              <w:rPr>
                <w:rFonts w:asciiTheme="minorEastAsia" w:hAnsiTheme="minorEastAsia" w:cs="宋体" w:hint="eastAsia"/>
                <w:szCs w:val="21"/>
                <w:lang w:val="es-AR" w:bidi="ne-NP"/>
              </w:rPr>
              <w:t>现运行</w:t>
            </w:r>
            <w:proofErr w:type="gramEnd"/>
            <w:r w:rsidRPr="00B9777E">
              <w:rPr>
                <w:rFonts w:asciiTheme="minorEastAsia" w:hAnsiTheme="minorEastAsia" w:cs="宋体" w:hint="eastAsia"/>
                <w:szCs w:val="21"/>
                <w:lang w:val="es-AR" w:bidi="ne-NP"/>
              </w:rPr>
              <w:t>的HIS系统使用形式相似；</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多终端支持，支持多终端安装系统并根据相应权限进行病历录入、查询、输出等功能；</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牙位采用图形化和/或数字化记录系统，病历记录高效完整（&lt;1min/例），支持医院配置或指定的语音快速录入系统。支持制作和生成病历模板以提高录入效率；</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支持所见即所得的病历打印；按院标准化病历格式输出纸质病历(A4或B6纸张)，对于某些特殊病历(如正畸、牙周等)可输出符合公认标准的图形化病历；</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可与医院健康管理中心体检系统共享或对接，对体检或单一病程的病历实现指定格式的快速录入；</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支持教学病历打印双签名，在医院政策允许下，支持电子签名；</w:t>
            </w:r>
          </w:p>
        </w:tc>
      </w:tr>
      <w:tr w:rsidR="001875FB" w:rsidRPr="00B9777E" w:rsidTr="001875FB">
        <w:trPr>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2</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诊断资料保存与共享</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*同时存留患者知情同意书（电子签名或手写签名扫描件）、身份信息复印件等；</w:t>
            </w:r>
            <w:r w:rsidRPr="00B9777E">
              <w:rPr>
                <w:rFonts w:asciiTheme="minorEastAsia" w:hAnsiTheme="minorEastAsia" w:cs="宋体"/>
                <w:szCs w:val="21"/>
                <w:lang w:val="es-AR" w:bidi="ne-NP"/>
              </w:rPr>
              <w:t xml:space="preserve"> </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与HIS系统对接，可以提取患者在其他科室的诊疗信息等相关数据；</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与医院的PACS系统和牙科PACS系统（另行采购，保留接口接入及服务支持）连接，实现病历记录归档保存；</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与科室现有的佛罗里达牙周探针系统、</w:t>
            </w:r>
            <w:proofErr w:type="gramStart"/>
            <w:r w:rsidRPr="00B9777E">
              <w:rPr>
                <w:rFonts w:asciiTheme="minorEastAsia" w:hAnsiTheme="minorEastAsia" w:cs="宋体" w:hint="eastAsia"/>
                <w:szCs w:val="21"/>
                <w:lang w:val="es-AR" w:bidi="ne-NP"/>
              </w:rPr>
              <w:t>口扫系统</w:t>
            </w:r>
            <w:proofErr w:type="gramEnd"/>
            <w:r w:rsidRPr="00B9777E">
              <w:rPr>
                <w:rFonts w:asciiTheme="minorEastAsia" w:hAnsiTheme="minorEastAsia" w:cs="宋体" w:hint="eastAsia"/>
                <w:szCs w:val="21"/>
                <w:lang w:val="es-AR" w:bidi="ne-NP"/>
              </w:rPr>
              <w:t>兼容，支持相关数据文件的归档及存储；</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保留外源性录入接口，在医院权限及设备支持下可选择性输入患者的</w:t>
            </w:r>
            <w:proofErr w:type="gramStart"/>
            <w:r w:rsidRPr="00B9777E">
              <w:rPr>
                <w:rFonts w:asciiTheme="minorEastAsia" w:hAnsiTheme="minorEastAsia" w:cs="宋体" w:hint="eastAsia"/>
                <w:szCs w:val="21"/>
                <w:lang w:val="es-AR" w:bidi="ne-NP"/>
              </w:rPr>
              <w:t>复诊面</w:t>
            </w:r>
            <w:proofErr w:type="gramEnd"/>
            <w:r w:rsidRPr="00B9777E">
              <w:rPr>
                <w:rFonts w:asciiTheme="minorEastAsia" w:hAnsiTheme="minorEastAsia" w:cs="宋体" w:hint="eastAsia"/>
                <w:szCs w:val="21"/>
                <w:lang w:val="es-AR" w:bidi="ne-NP"/>
              </w:rPr>
              <w:t>像照片、数字化模型等信息；</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可将该系统内病历资料选择性与本院其他科室共享；</w:t>
            </w:r>
          </w:p>
        </w:tc>
      </w:tr>
      <w:tr w:rsidR="001875FB" w:rsidRPr="00B9777E" w:rsidTr="001875FB">
        <w:trPr>
          <w:trHeight w:val="327"/>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3</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辅助诊疗功能</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*对于正畸正侧位片具有自动辅助定点、测量长度及角度并对相应测量数据进</w:t>
            </w:r>
            <w:r w:rsidRPr="00B9777E">
              <w:rPr>
                <w:rFonts w:asciiTheme="minorEastAsia" w:hAnsiTheme="minorEastAsia" w:cs="宋体" w:hint="eastAsia"/>
                <w:szCs w:val="21"/>
                <w:lang w:val="es-AR" w:bidi="ne-NP"/>
              </w:rPr>
              <w:lastRenderedPageBreak/>
              <w:t>行相应诊断分析的头影测量分析功能；</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支持系统</w:t>
            </w:r>
            <w:proofErr w:type="gramStart"/>
            <w:r w:rsidRPr="00B9777E">
              <w:rPr>
                <w:rFonts w:asciiTheme="minorEastAsia" w:hAnsiTheme="minorEastAsia" w:cs="宋体" w:hint="eastAsia"/>
                <w:szCs w:val="21"/>
                <w:lang w:val="es-AR" w:bidi="ne-NP"/>
              </w:rPr>
              <w:t>内图片</w:t>
            </w:r>
            <w:proofErr w:type="gramEnd"/>
            <w:r w:rsidRPr="00B9777E">
              <w:rPr>
                <w:rFonts w:asciiTheme="minorEastAsia" w:hAnsiTheme="minorEastAsia" w:cs="宋体" w:hint="eastAsia"/>
                <w:szCs w:val="21"/>
                <w:lang w:val="es-AR" w:bidi="ne-NP"/>
              </w:rPr>
              <w:t>对比度/亮度等简单浏览调节功能、简单定位和测量点、线段和角度等功能，不保存原始图片；</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支持治疗计划、处方套餐等模板录入功能，并根据患者的诊断提供简单的治疗辅助建议、治疗模板或计费套餐、常用处方套餐等功能；</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辅助处方系统：与医院HIS系统处方系统兼容，对不合理处方、超剂量处方及超适应证处方等进行校验并提示；</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提供部分病历内容自动校验功能，在病历文书书写时，对必选项目、数值型错误信息（如体温）、与性别不符合信息、非空项目、不合理处方等当录入不符合信息系统自动弹出窗体提醒；</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根据相应诊断及治疗方案生成知情同意书、病情告知书等模板内容；</w:t>
            </w:r>
          </w:p>
        </w:tc>
      </w:tr>
      <w:tr w:rsidR="001875FB" w:rsidRPr="00B9777E" w:rsidTr="001875FB">
        <w:trPr>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4</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门诊日志及质</w:t>
            </w:r>
            <w:r w:rsidRPr="00B9777E">
              <w:rPr>
                <w:rFonts w:asciiTheme="minorEastAsia" w:hAnsiTheme="minorEastAsia" w:cs="宋体" w:hint="eastAsia"/>
                <w:szCs w:val="21"/>
                <w:lang w:val="es-AR" w:bidi="ne-NP"/>
              </w:rPr>
              <w:lastRenderedPageBreak/>
              <w:t>量管理</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具有门诊日志功能，按日期提取当日或一段时间内的门诊日志及患者诊断、</w:t>
            </w:r>
            <w:r w:rsidRPr="00B9777E">
              <w:rPr>
                <w:rFonts w:asciiTheme="minorEastAsia" w:hAnsiTheme="minorEastAsia" w:cs="宋体" w:hint="eastAsia"/>
                <w:szCs w:val="21"/>
                <w:lang w:val="es-AR" w:bidi="ne-NP"/>
              </w:rPr>
              <w:lastRenderedPageBreak/>
              <w:t>收费、去向分析；</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可追踪录入患者随访及满意度评价等信息；</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对指定人员开放病例质量评价权限，可以按要求选择性提取某一个或某一组患者或医生的病历并进行质量评价；</w:t>
            </w:r>
          </w:p>
        </w:tc>
      </w:tr>
      <w:tr w:rsidR="001875FB" w:rsidRPr="00B9777E" w:rsidTr="001875FB">
        <w:trPr>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5</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科室信息管理及数据分析</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*允许相应权限人员按诊疗时间段、诊断、收费项目及患者姓名等多种方式提取处方、收费、药占比、</w:t>
            </w:r>
            <w:proofErr w:type="gramStart"/>
            <w:r w:rsidRPr="00B9777E">
              <w:rPr>
                <w:rFonts w:asciiTheme="minorEastAsia" w:hAnsiTheme="minorEastAsia" w:cs="宋体" w:hint="eastAsia"/>
                <w:szCs w:val="21"/>
                <w:lang w:val="es-AR" w:bidi="ne-NP"/>
              </w:rPr>
              <w:t>耗占比</w:t>
            </w:r>
            <w:proofErr w:type="gramEnd"/>
            <w:r w:rsidRPr="00B9777E">
              <w:rPr>
                <w:rFonts w:asciiTheme="minorEastAsia" w:hAnsiTheme="minorEastAsia" w:cs="宋体" w:hint="eastAsia"/>
                <w:szCs w:val="21"/>
                <w:lang w:val="es-AR" w:bidi="ne-NP"/>
              </w:rPr>
              <w:t>等诊疗信息，便于科室精细化管理；</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根据科室管理需要，对具有特定权限的人员开放数据提取及分析制图(表)功能；</w:t>
            </w:r>
          </w:p>
        </w:tc>
      </w:tr>
      <w:tr w:rsidR="001875FB" w:rsidRPr="00B9777E" w:rsidTr="001875FB">
        <w:trPr>
          <w:trHeight w:val="836"/>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6</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技术支持</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proofErr w:type="gramStart"/>
            <w:r w:rsidRPr="00B9777E">
              <w:rPr>
                <w:rFonts w:asciiTheme="minorEastAsia" w:hAnsiTheme="minorEastAsia" w:cs="宋体" w:hint="eastAsia"/>
                <w:szCs w:val="21"/>
                <w:lang w:val="es-AR" w:bidi="ne-NP"/>
              </w:rPr>
              <w:t>在维保期限</w:t>
            </w:r>
            <w:proofErr w:type="gramEnd"/>
            <w:r w:rsidRPr="00B9777E">
              <w:rPr>
                <w:rFonts w:asciiTheme="minorEastAsia" w:hAnsiTheme="minorEastAsia" w:cs="宋体" w:hint="eastAsia"/>
                <w:szCs w:val="21"/>
                <w:lang w:val="es-AR" w:bidi="ne-NP"/>
              </w:rPr>
              <w:t>内针对影响系统使用或临床应用中的漏洞等重大问题，及时给予相应更新或升级支持，且不再产生任何新的费用；</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不影响数据库或软件系统整体架构的情况下支持后续个性化应用管理及开发；</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20" w:rsidRDefault="00402820" w:rsidP="00156746">
      <w:r>
        <w:separator/>
      </w:r>
    </w:p>
  </w:endnote>
  <w:endnote w:type="continuationSeparator" w:id="0">
    <w:p w:rsidR="00402820" w:rsidRDefault="00402820"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Pr="00EB77AB" w:rsidRDefault="001875F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86325">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Pr="00EB77AB" w:rsidRDefault="001875F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86325">
      <w:rPr>
        <w:rStyle w:val="a7"/>
        <w:noProof/>
        <w:sz w:val="24"/>
        <w:szCs w:val="24"/>
      </w:rPr>
      <w:t>5</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Pr="00EB77AB" w:rsidRDefault="001875FB">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86325">
      <w:rPr>
        <w:rStyle w:val="a7"/>
        <w:noProof/>
        <w:sz w:val="24"/>
        <w:szCs w:val="24"/>
      </w:rPr>
      <w:t>39</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20" w:rsidRDefault="00402820" w:rsidP="00156746">
      <w:r>
        <w:separator/>
      </w:r>
    </w:p>
  </w:footnote>
  <w:footnote w:type="continuationSeparator" w:id="0">
    <w:p w:rsidR="00402820" w:rsidRDefault="00402820"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sz w:val="21"/>
        <w:szCs w:val="21"/>
      </w:rPr>
    </w:pPr>
  </w:p>
  <w:p w:rsidR="001875FB" w:rsidRDefault="001875FB">
    <w:pPr>
      <w:pStyle w:val="a4"/>
      <w:jc w:val="both"/>
      <w:rPr>
        <w:rFonts w:ascii="楷体_GB2312" w:eastAsia="楷体_GB2312"/>
        <w:sz w:val="21"/>
        <w:szCs w:val="21"/>
      </w:rPr>
    </w:pPr>
  </w:p>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sz w:val="21"/>
        <w:szCs w:val="21"/>
      </w:rPr>
    </w:pPr>
  </w:p>
  <w:p w:rsidR="001875FB" w:rsidRDefault="001875FB">
    <w:pPr>
      <w:pStyle w:val="a4"/>
      <w:jc w:val="both"/>
      <w:rPr>
        <w:rFonts w:ascii="楷体_GB2312" w:eastAsia="楷体_GB2312"/>
        <w:sz w:val="21"/>
        <w:szCs w:val="21"/>
      </w:rPr>
    </w:pPr>
  </w:p>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sz w:val="21"/>
        <w:szCs w:val="21"/>
      </w:rPr>
    </w:pPr>
  </w:p>
  <w:p w:rsidR="001875FB" w:rsidRDefault="001875FB">
    <w:pPr>
      <w:pStyle w:val="a4"/>
      <w:jc w:val="both"/>
      <w:rPr>
        <w:rFonts w:ascii="楷体_GB2312" w:eastAsia="楷体_GB2312"/>
        <w:sz w:val="21"/>
        <w:szCs w:val="21"/>
      </w:rPr>
    </w:pPr>
  </w:p>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sz w:val="21"/>
        <w:szCs w:val="21"/>
      </w:rPr>
    </w:pPr>
  </w:p>
  <w:p w:rsidR="001875FB" w:rsidRDefault="001875FB">
    <w:pPr>
      <w:pStyle w:val="a4"/>
      <w:jc w:val="both"/>
      <w:rPr>
        <w:rFonts w:ascii="楷体_GB2312" w:eastAsia="楷体_GB2312"/>
        <w:sz w:val="21"/>
        <w:szCs w:val="21"/>
      </w:rPr>
    </w:pPr>
  </w:p>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bCs/>
        <w:sz w:val="21"/>
        <w:szCs w:val="21"/>
      </w:rPr>
    </w:pPr>
  </w:p>
  <w:p w:rsidR="001875FB" w:rsidRDefault="001875FB">
    <w:pPr>
      <w:pStyle w:val="a4"/>
      <w:jc w:val="both"/>
      <w:rPr>
        <w:rFonts w:ascii="楷体_GB2312" w:eastAsia="楷体_GB2312"/>
        <w:bCs/>
        <w:sz w:val="21"/>
        <w:szCs w:val="21"/>
      </w:rPr>
    </w:pPr>
  </w:p>
  <w:p w:rsidR="001875FB" w:rsidRPr="006A13FB" w:rsidRDefault="001875F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bCs/>
        <w:sz w:val="21"/>
        <w:szCs w:val="21"/>
      </w:rPr>
    </w:pPr>
  </w:p>
  <w:p w:rsidR="001875FB" w:rsidRDefault="001875FB">
    <w:pPr>
      <w:pStyle w:val="a4"/>
      <w:jc w:val="both"/>
      <w:rPr>
        <w:rFonts w:ascii="楷体_GB2312" w:eastAsia="楷体_GB2312"/>
        <w:bCs/>
        <w:sz w:val="21"/>
        <w:szCs w:val="21"/>
      </w:rPr>
    </w:pPr>
  </w:p>
  <w:p w:rsidR="001875FB" w:rsidRPr="00635860" w:rsidRDefault="001875F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bCs/>
        <w:sz w:val="21"/>
        <w:szCs w:val="21"/>
      </w:rPr>
    </w:pPr>
  </w:p>
  <w:p w:rsidR="001875FB" w:rsidRDefault="001875FB">
    <w:pPr>
      <w:pStyle w:val="a4"/>
      <w:jc w:val="both"/>
      <w:rPr>
        <w:rFonts w:ascii="楷体_GB2312" w:eastAsia="楷体_GB2312"/>
        <w:bCs/>
        <w:sz w:val="21"/>
        <w:szCs w:val="21"/>
      </w:rPr>
    </w:pPr>
  </w:p>
  <w:p w:rsidR="001875FB" w:rsidRPr="00635860" w:rsidRDefault="001875F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ADC29E"/>
    <w:multiLevelType w:val="singleLevel"/>
    <w:tmpl w:val="BCADC29E"/>
    <w:lvl w:ilvl="0">
      <w:start w:val="1"/>
      <w:numFmt w:val="decimal"/>
      <w:suff w:val="nothing"/>
      <w:lvlText w:val="%1、"/>
      <w:lvlJc w:val="left"/>
    </w:lvl>
  </w:abstractNum>
  <w:abstractNum w:abstractNumId="1">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5">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6">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1">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3">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0"/>
  </w:num>
  <w:num w:numId="3">
    <w:abstractNumId w:val="29"/>
  </w:num>
  <w:num w:numId="4">
    <w:abstractNumId w:val="13"/>
  </w:num>
  <w:num w:numId="5">
    <w:abstractNumId w:val="20"/>
  </w:num>
  <w:num w:numId="6">
    <w:abstractNumId w:val="22"/>
  </w:num>
  <w:num w:numId="7">
    <w:abstractNumId w:val="4"/>
  </w:num>
  <w:num w:numId="8">
    <w:abstractNumId w:val="15"/>
  </w:num>
  <w:num w:numId="9">
    <w:abstractNumId w:val="10"/>
  </w:num>
  <w:num w:numId="10">
    <w:abstractNumId w:val="5"/>
  </w:num>
  <w:num w:numId="11">
    <w:abstractNumId w:val="2"/>
  </w:num>
  <w:num w:numId="12">
    <w:abstractNumId w:val="16"/>
  </w:num>
  <w:num w:numId="13">
    <w:abstractNumId w:val="36"/>
  </w:num>
  <w:num w:numId="14">
    <w:abstractNumId w:val="12"/>
  </w:num>
  <w:num w:numId="15">
    <w:abstractNumId w:val="33"/>
  </w:num>
  <w:num w:numId="16">
    <w:abstractNumId w:val="32"/>
  </w:num>
  <w:num w:numId="17">
    <w:abstractNumId w:val="42"/>
  </w:num>
  <w:num w:numId="18">
    <w:abstractNumId w:val="11"/>
  </w:num>
  <w:num w:numId="19">
    <w:abstractNumId w:val="46"/>
  </w:num>
  <w:num w:numId="20">
    <w:abstractNumId w:val="3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3"/>
  </w:num>
  <w:num w:numId="35">
    <w:abstractNumId w:val="27"/>
  </w:num>
  <w:num w:numId="36">
    <w:abstractNumId w:val="25"/>
  </w:num>
  <w:num w:numId="37">
    <w:abstractNumId w:val="7"/>
  </w:num>
  <w:num w:numId="38">
    <w:abstractNumId w:val="6"/>
  </w:num>
  <w:num w:numId="39">
    <w:abstractNumId w:val="28"/>
  </w:num>
  <w:num w:numId="40">
    <w:abstractNumId w:val="14"/>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1"/>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654D"/>
    <w:rsid w:val="0002753B"/>
    <w:rsid w:val="00027CF2"/>
    <w:rsid w:val="00037330"/>
    <w:rsid w:val="000404BD"/>
    <w:rsid w:val="00040A76"/>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5FB"/>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36BE6"/>
    <w:rsid w:val="002425C9"/>
    <w:rsid w:val="002474B3"/>
    <w:rsid w:val="00262C6B"/>
    <w:rsid w:val="00265A44"/>
    <w:rsid w:val="002A09F2"/>
    <w:rsid w:val="002A2C39"/>
    <w:rsid w:val="002A65C6"/>
    <w:rsid w:val="002B5601"/>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02820"/>
    <w:rsid w:val="004112AF"/>
    <w:rsid w:val="00412E87"/>
    <w:rsid w:val="0041496A"/>
    <w:rsid w:val="004208CD"/>
    <w:rsid w:val="0042225E"/>
    <w:rsid w:val="00430345"/>
    <w:rsid w:val="004350C6"/>
    <w:rsid w:val="004516D5"/>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1FC2"/>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6325"/>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E92"/>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11E6"/>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网格型60"/>
    <w:basedOn w:val="a2"/>
    <w:next w:val="ae"/>
    <w:uiPriority w:val="99"/>
    <w:unhideWhenUsed/>
    <w:qFormat/>
    <w:rsid w:val="001875FB"/>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DD78-9A9A-4398-973C-F54A3B41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7926</TotalTime>
  <Pages>64</Pages>
  <Words>4443</Words>
  <Characters>25329</Characters>
  <Application>Microsoft Office Word</Application>
  <DocSecurity>0</DocSecurity>
  <Lines>211</Lines>
  <Paragraphs>59</Paragraphs>
  <ScaleCrop>false</ScaleCrop>
  <Company>china</Company>
  <LinksUpToDate>false</LinksUpToDate>
  <CharactersWithSpaces>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340</cp:revision>
  <cp:lastPrinted>2020-08-25T02:19:00Z</cp:lastPrinted>
  <dcterms:created xsi:type="dcterms:W3CDTF">2016-06-29T06:49:00Z</dcterms:created>
  <dcterms:modified xsi:type="dcterms:W3CDTF">2020-10-28T00:50:00Z</dcterms:modified>
</cp:coreProperties>
</file>